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3BA73" w14:textId="31A08C3C" w:rsidR="00AA6F7A" w:rsidRPr="00FF787D" w:rsidRDefault="00AA6F7A" w:rsidP="00ED5DB9">
      <w:pPr>
        <w:spacing w:line="240" w:lineRule="auto"/>
        <w:jc w:val="both"/>
        <w:rPr>
          <w:rFonts w:ascii="Times New Roman" w:hAnsi="Times New Roman" w:cs="Times New Roman"/>
          <w:b/>
          <w:bCs/>
        </w:rPr>
      </w:pPr>
      <w:r w:rsidRPr="00FF787D">
        <w:rPr>
          <w:rFonts w:ascii="Times New Roman" w:hAnsi="Times New Roman" w:cs="Times New Roman"/>
          <w:b/>
          <w:bCs/>
        </w:rPr>
        <w:t xml:space="preserve">Decreto del Ministro dell’ambiente e della sicurezza energetica di </w:t>
      </w:r>
      <w:r w:rsidR="007319A0" w:rsidRPr="00FF787D">
        <w:rPr>
          <w:rFonts w:ascii="Times New Roman" w:hAnsi="Times New Roman" w:cs="Times New Roman"/>
          <w:b/>
          <w:bCs/>
        </w:rPr>
        <w:t>novella</w:t>
      </w:r>
      <w:r w:rsidRPr="00FF787D">
        <w:rPr>
          <w:rFonts w:ascii="Times New Roman" w:hAnsi="Times New Roman" w:cs="Times New Roman"/>
          <w:b/>
          <w:bCs/>
        </w:rPr>
        <w:t xml:space="preserve"> del decreto del Ministro dell</w:t>
      </w:r>
      <w:r w:rsidR="007319A0" w:rsidRPr="00FF787D">
        <w:rPr>
          <w:rFonts w:ascii="Times New Roman" w:hAnsi="Times New Roman" w:cs="Times New Roman"/>
          <w:b/>
          <w:bCs/>
        </w:rPr>
        <w:t xml:space="preserve">’ambiente e della sicurezza energetica </w:t>
      </w:r>
      <w:r w:rsidRPr="00FF787D">
        <w:rPr>
          <w:rFonts w:ascii="Times New Roman" w:hAnsi="Times New Roman" w:cs="Times New Roman"/>
          <w:b/>
          <w:bCs/>
        </w:rPr>
        <w:t xml:space="preserve">del </w:t>
      </w:r>
      <w:r w:rsidR="0024381B" w:rsidRPr="00FF787D">
        <w:rPr>
          <w:rFonts w:ascii="Times New Roman" w:hAnsi="Times New Roman" w:cs="Times New Roman"/>
          <w:b/>
          <w:bCs/>
        </w:rPr>
        <w:t>7</w:t>
      </w:r>
      <w:r w:rsidRPr="00FF787D">
        <w:rPr>
          <w:rFonts w:ascii="Times New Roman" w:hAnsi="Times New Roman" w:cs="Times New Roman"/>
          <w:b/>
          <w:bCs/>
        </w:rPr>
        <w:t xml:space="preserve"> </w:t>
      </w:r>
      <w:r w:rsidR="0024381B" w:rsidRPr="00FF787D">
        <w:rPr>
          <w:rFonts w:ascii="Times New Roman" w:hAnsi="Times New Roman" w:cs="Times New Roman"/>
          <w:b/>
          <w:bCs/>
        </w:rPr>
        <w:t>agosto</w:t>
      </w:r>
      <w:r w:rsidRPr="00FF787D">
        <w:rPr>
          <w:rFonts w:ascii="Times New Roman" w:hAnsi="Times New Roman" w:cs="Times New Roman"/>
          <w:b/>
          <w:bCs/>
        </w:rPr>
        <w:t xml:space="preserve"> 20</w:t>
      </w:r>
      <w:r w:rsidR="0024381B" w:rsidRPr="00FF787D">
        <w:rPr>
          <w:rFonts w:ascii="Times New Roman" w:hAnsi="Times New Roman" w:cs="Times New Roman"/>
          <w:b/>
          <w:bCs/>
        </w:rPr>
        <w:t xml:space="preserve">25 </w:t>
      </w:r>
      <w:r w:rsidR="00367FB8" w:rsidRPr="00FF787D">
        <w:rPr>
          <w:rFonts w:ascii="Times New Roman" w:hAnsi="Times New Roman" w:cs="Times New Roman"/>
          <w:b/>
          <w:bCs/>
        </w:rPr>
        <w:t xml:space="preserve">recante la </w:t>
      </w:r>
      <w:r w:rsidRPr="00FF787D">
        <w:rPr>
          <w:rFonts w:ascii="Times New Roman" w:hAnsi="Times New Roman" w:cs="Times New Roman"/>
          <w:b/>
          <w:bCs/>
        </w:rPr>
        <w:t xml:space="preserve">disciplina </w:t>
      </w:r>
      <w:r w:rsidR="00367FB8" w:rsidRPr="00FF787D">
        <w:rPr>
          <w:rFonts w:ascii="Times New Roman" w:hAnsi="Times New Roman" w:cs="Times New Roman"/>
          <w:b/>
          <w:bCs/>
        </w:rPr>
        <w:t xml:space="preserve">di </w:t>
      </w:r>
      <w:r w:rsidRPr="00FF787D">
        <w:rPr>
          <w:rFonts w:ascii="Times New Roman" w:hAnsi="Times New Roman" w:cs="Times New Roman"/>
          <w:b/>
          <w:bCs/>
        </w:rPr>
        <w:t>incentivazione di interventi di piccole dimensioni per l'incremento dell'efficienza energetica e per la produzione di energia termica da fonti rinnovabili</w:t>
      </w:r>
    </w:p>
    <w:p w14:paraId="4E7C043C" w14:textId="77777777" w:rsidR="00600E30" w:rsidRDefault="00600E30" w:rsidP="00ED5DB9">
      <w:pPr>
        <w:spacing w:line="240" w:lineRule="auto"/>
        <w:ind w:firstLine="709"/>
        <w:jc w:val="center"/>
        <w:rPr>
          <w:rFonts w:ascii="Times New Roman" w:hAnsi="Times New Roman" w:cs="Times New Roman"/>
          <w:b/>
          <w:bCs/>
        </w:rPr>
      </w:pPr>
    </w:p>
    <w:p w14:paraId="60ABF633" w14:textId="4BF9F014" w:rsidR="00D05DEA" w:rsidRPr="00FF787D" w:rsidRDefault="00D05DEA" w:rsidP="00ED5DB9">
      <w:pPr>
        <w:spacing w:line="240" w:lineRule="auto"/>
        <w:ind w:firstLine="709"/>
        <w:jc w:val="center"/>
        <w:rPr>
          <w:rFonts w:ascii="Times New Roman" w:hAnsi="Times New Roman" w:cs="Times New Roman"/>
          <w:b/>
          <w:bCs/>
        </w:rPr>
      </w:pPr>
      <w:r w:rsidRPr="00FF787D">
        <w:rPr>
          <w:rFonts w:ascii="Times New Roman" w:hAnsi="Times New Roman" w:cs="Times New Roman"/>
          <w:b/>
          <w:bCs/>
        </w:rPr>
        <w:t>RELAZIONE ILLUSTRATIVA</w:t>
      </w:r>
    </w:p>
    <w:p w14:paraId="27212C11" w14:textId="1C857BFE" w:rsidR="00D05DEA" w:rsidRPr="00FF787D" w:rsidRDefault="00230608" w:rsidP="00ED5DB9">
      <w:pPr>
        <w:pStyle w:val="Paragrafoelenco"/>
        <w:numPr>
          <w:ilvl w:val="0"/>
          <w:numId w:val="1"/>
        </w:numPr>
        <w:spacing w:line="240" w:lineRule="auto"/>
        <w:ind w:left="0" w:firstLine="709"/>
        <w:jc w:val="both"/>
        <w:rPr>
          <w:rFonts w:ascii="Times New Roman" w:hAnsi="Times New Roman" w:cs="Times New Roman"/>
          <w:b/>
          <w:bCs/>
        </w:rPr>
      </w:pPr>
      <w:r w:rsidRPr="00FF787D">
        <w:rPr>
          <w:rFonts w:ascii="Times New Roman" w:hAnsi="Times New Roman" w:cs="Times New Roman"/>
          <w:b/>
          <w:bCs/>
        </w:rPr>
        <w:t>Contesto normativo</w:t>
      </w:r>
    </w:p>
    <w:p w14:paraId="3199B45C" w14:textId="77777777" w:rsidR="00EE5B15" w:rsidRPr="00FF787D" w:rsidRDefault="009A6252" w:rsidP="00ED5DB9">
      <w:pPr>
        <w:spacing w:after="0" w:line="240" w:lineRule="auto"/>
        <w:ind w:firstLine="567"/>
        <w:jc w:val="both"/>
        <w:rPr>
          <w:rFonts w:ascii="Times New Roman" w:eastAsia="Times New Roman" w:hAnsi="Times New Roman" w:cs="Times New Roman"/>
          <w:kern w:val="0"/>
          <w:lang w:eastAsia="it-IT"/>
          <w14:ligatures w14:val="none"/>
        </w:rPr>
      </w:pPr>
      <w:r w:rsidRPr="00FF787D">
        <w:rPr>
          <w:rFonts w:ascii="Times New Roman" w:eastAsia="Times New Roman" w:hAnsi="Times New Roman" w:cs="Times New Roman"/>
          <w:kern w:val="0"/>
          <w:lang w:eastAsia="it-IT"/>
          <w14:ligatures w14:val="none"/>
        </w:rPr>
        <w:t>Il presente decreto, adottato in forma di novella, reca modifiche puntuali al decreto del Ministro dell’ambiente e della sicurezza energetica 7 agosto 2025, pubblicato nella Gazzetta Ufficiale della Repubblica italiana n. 224 del 26 settembre 2025, con il quale è stata aggiornata la disciplina di incentivazione degli interventi di piccole dimensioni finalizzati all’incremento dell’efficienza energetica e alla produzione di energia termica da fonti rinnovabili.</w:t>
      </w:r>
    </w:p>
    <w:p w14:paraId="6DFACB37" w14:textId="7B309048" w:rsidR="00EE5B15" w:rsidRPr="00FF787D" w:rsidRDefault="00EE5B15" w:rsidP="00ED5DB9">
      <w:pPr>
        <w:spacing w:after="0" w:line="240" w:lineRule="auto"/>
        <w:ind w:firstLine="567"/>
        <w:jc w:val="both"/>
        <w:rPr>
          <w:rFonts w:ascii="Times New Roman" w:hAnsi="Times New Roman" w:cs="Times New Roman"/>
        </w:rPr>
      </w:pPr>
      <w:r w:rsidRPr="00FF787D">
        <w:rPr>
          <w:rFonts w:ascii="Times New Roman" w:hAnsi="Times New Roman" w:cs="Times New Roman"/>
        </w:rPr>
        <w:t>Il quadro normativo primario del meccanismo trova il proprio fondamento nell’articolo 28 del decreto legislativo 3 marzo 2011, n. 28, che demanda alla decretazione ministeriale la definizione delle modalità attuative, dei valori degli incentivi e delle condizioni di accesso, individuando la copertura degli oneri nel gettito delle componenti delle tariffe del gas naturale.</w:t>
      </w:r>
    </w:p>
    <w:p w14:paraId="43AAE756" w14:textId="729C371A" w:rsidR="00EE5B15" w:rsidRPr="00FF787D" w:rsidRDefault="00EE5B15" w:rsidP="00ED5DB9">
      <w:pPr>
        <w:spacing w:after="0" w:line="240" w:lineRule="auto"/>
        <w:ind w:firstLine="567"/>
        <w:jc w:val="both"/>
        <w:rPr>
          <w:rFonts w:ascii="Times New Roman" w:hAnsi="Times New Roman" w:cs="Times New Roman"/>
        </w:rPr>
      </w:pPr>
      <w:r w:rsidRPr="00FF787D">
        <w:rPr>
          <w:rFonts w:ascii="Times New Roman" w:hAnsi="Times New Roman" w:cs="Times New Roman"/>
        </w:rPr>
        <w:t>L’aggiornamento della disciplina è stato disposto in attuazione dell’articolo 10, commi 1 e 2, del decreto legislativo 8 novembre 2021, n. 199, con superamento della previgente regolazione contenuta nel decreto ministeriale 16 febbraio 2016.</w:t>
      </w:r>
    </w:p>
    <w:p w14:paraId="4FDD308A" w14:textId="77777777" w:rsidR="00EE5B15" w:rsidRPr="00FF787D" w:rsidRDefault="00EE5B15" w:rsidP="00ED5DB9">
      <w:pPr>
        <w:spacing w:after="0" w:line="240" w:lineRule="auto"/>
        <w:ind w:firstLine="567"/>
        <w:jc w:val="both"/>
        <w:rPr>
          <w:rFonts w:ascii="Times New Roman" w:eastAsia="Times New Roman" w:hAnsi="Times New Roman" w:cs="Times New Roman"/>
          <w:kern w:val="0"/>
          <w:lang w:eastAsia="it-IT"/>
          <w14:ligatures w14:val="none"/>
        </w:rPr>
      </w:pPr>
      <w:r w:rsidRPr="00FF787D">
        <w:rPr>
          <w:rFonts w:ascii="Times New Roman" w:eastAsia="Times New Roman" w:hAnsi="Times New Roman" w:cs="Times New Roman"/>
          <w:kern w:val="0"/>
          <w:lang w:eastAsia="it-IT"/>
          <w14:ligatures w14:val="none"/>
        </w:rPr>
        <w:t>Sotto il profilo finanziario, l’articolo 47, comma 9-bis, del decreto-legge 24 febbraio 2023, n. 13, ha rideterminato l’impegno massimo di spesa annua cumulata del Conto Termico in 900 milioni di euro, ripartiti in 400 milioni per le pubbliche amministrazioni e 500 milioni per i soggetti privati. Il decreto ministeriale 7 agosto 2025 ha confermato tale limite complessivo e, all’articolo 3, ha disciplinato l’assetto di gestione delle risorse, prevedendo limiti, riserve e strumenti di rimodulazione funzionali all’equilibrio finanziario del meccanismo e alla continuità di accesso agli incentivi.</w:t>
      </w:r>
    </w:p>
    <w:p w14:paraId="75D56ACB" w14:textId="2DE5B9EC" w:rsidR="00EE5B15" w:rsidRPr="00FF787D" w:rsidRDefault="00EE5B15" w:rsidP="00ED5DB9">
      <w:pPr>
        <w:spacing w:after="0" w:line="240" w:lineRule="auto"/>
        <w:ind w:firstLine="567"/>
        <w:jc w:val="both"/>
        <w:rPr>
          <w:rFonts w:ascii="Times New Roman" w:eastAsia="Times New Roman" w:hAnsi="Times New Roman" w:cs="Times New Roman"/>
          <w:kern w:val="0"/>
          <w:lang w:eastAsia="it-IT"/>
          <w14:ligatures w14:val="none"/>
        </w:rPr>
      </w:pPr>
      <w:r w:rsidRPr="00FF787D">
        <w:rPr>
          <w:rFonts w:ascii="Times New Roman" w:eastAsia="Times New Roman" w:hAnsi="Times New Roman" w:cs="Times New Roman"/>
          <w:kern w:val="0"/>
          <w:lang w:eastAsia="it-IT"/>
          <w14:ligatures w14:val="none"/>
        </w:rPr>
        <w:t>In applicazione di tale previsione, il decreto direttoriale n. 72 del 10 aprile 2026 ha rideterminato, per l’esercizio finanziario 2026, la ripartizione delle risorse tra pubbliche amministrazioni e soggetti privati, portando entrambe le quote a 450 milioni di euro, in ragione dell’andamento delle richieste e della maggiore saturazione della componente riferita alle amministrazioni pubbliche.</w:t>
      </w:r>
    </w:p>
    <w:p w14:paraId="1CB6B330" w14:textId="7F3004A5" w:rsidR="00C24F75" w:rsidRDefault="00EE5B15" w:rsidP="00ED5DB9">
      <w:pPr>
        <w:spacing w:after="0" w:line="240" w:lineRule="auto"/>
        <w:ind w:firstLine="567"/>
        <w:jc w:val="both"/>
        <w:rPr>
          <w:rFonts w:ascii="Times New Roman" w:eastAsia="Times New Roman" w:hAnsi="Times New Roman" w:cs="Times New Roman"/>
          <w:kern w:val="0"/>
          <w:lang w:eastAsia="it-IT"/>
          <w14:ligatures w14:val="none"/>
        </w:rPr>
      </w:pPr>
      <w:r w:rsidRPr="00FF787D">
        <w:rPr>
          <w:rFonts w:ascii="Times New Roman" w:eastAsia="Times New Roman" w:hAnsi="Times New Roman" w:cs="Times New Roman"/>
          <w:kern w:val="0"/>
          <w:lang w:eastAsia="it-IT"/>
          <w14:ligatures w14:val="none"/>
        </w:rPr>
        <w:t xml:space="preserve">L’intervento di novella si colloca, pertanto, in un quadro applicativo nel quale la prima </w:t>
      </w:r>
      <w:r w:rsidR="00C24F75">
        <w:rPr>
          <w:rFonts w:ascii="Times New Roman" w:eastAsia="Times New Roman" w:hAnsi="Times New Roman" w:cs="Times New Roman"/>
          <w:kern w:val="0"/>
          <w:lang w:eastAsia="it-IT"/>
          <w14:ligatures w14:val="none"/>
        </w:rPr>
        <w:t xml:space="preserve">applicazione del decreto 7 agosto 2025 </w:t>
      </w:r>
      <w:r w:rsidRPr="00FF787D">
        <w:rPr>
          <w:rFonts w:ascii="Times New Roman" w:eastAsia="Times New Roman" w:hAnsi="Times New Roman" w:cs="Times New Roman"/>
          <w:kern w:val="0"/>
          <w:lang w:eastAsia="it-IT"/>
          <w14:ligatures w14:val="none"/>
        </w:rPr>
        <w:t xml:space="preserve">ha evidenziato l’esigenza di apportare alcuni adeguamenti di natura tecnico-normativa, applicativa e di coordinamento, anche al fine di assicurare una gestione più ordinata delle risorse disponibili e una maggiore coerenza tra disciplina regolatoria, allegati tecnici e regole applicative. </w:t>
      </w:r>
    </w:p>
    <w:p w14:paraId="2E368C64" w14:textId="28706181" w:rsidR="00EE5B15" w:rsidRPr="00C24F75" w:rsidRDefault="00EE5B15" w:rsidP="00ED5DB9">
      <w:pPr>
        <w:spacing w:after="0" w:line="240" w:lineRule="auto"/>
        <w:ind w:firstLine="567"/>
        <w:jc w:val="both"/>
        <w:rPr>
          <w:rFonts w:ascii="Times New Roman" w:eastAsia="Times New Roman" w:hAnsi="Times New Roman" w:cs="Times New Roman"/>
          <w:kern w:val="0"/>
          <w:lang w:eastAsia="it-IT"/>
          <w14:ligatures w14:val="none"/>
        </w:rPr>
      </w:pPr>
      <w:r w:rsidRPr="00FF787D">
        <w:rPr>
          <w:rFonts w:ascii="Times New Roman" w:eastAsia="Times New Roman" w:hAnsi="Times New Roman" w:cs="Times New Roman"/>
          <w:kern w:val="0"/>
          <w:lang w:eastAsia="it-IT"/>
          <w14:ligatures w14:val="none"/>
        </w:rPr>
        <w:t xml:space="preserve">Le modifiche </w:t>
      </w:r>
      <w:r w:rsidR="00C24F75" w:rsidRPr="00C24F75">
        <w:rPr>
          <w:rFonts w:ascii="Times New Roman" w:eastAsia="Times New Roman" w:hAnsi="Times New Roman" w:cs="Times New Roman"/>
          <w:kern w:val="0"/>
          <w:lang w:eastAsia="it-IT"/>
          <w14:ligatures w14:val="none"/>
        </w:rPr>
        <w:t>conservano l’impianto generale e le finalità del Conto termico, intervenendo in modo puntuale sulla gestione finanziaria, sulle condizioni di accesso, sulle modalità di erogazione e sugli allegati tecnici. Il decreto reca anche disposizioni transitorie dirette a disciplinare il passaggio al nuovo assetto.</w:t>
      </w:r>
    </w:p>
    <w:p w14:paraId="000377F7" w14:textId="5EF22815" w:rsidR="00EE5B15" w:rsidRDefault="00DC432B" w:rsidP="00ED5DB9">
      <w:pPr>
        <w:spacing w:after="0" w:line="240" w:lineRule="auto"/>
        <w:ind w:firstLine="567"/>
        <w:jc w:val="both"/>
        <w:rPr>
          <w:rStyle w:val="Enfasigrassetto"/>
          <w:rFonts w:ascii="Times New Roman" w:hAnsi="Times New Roman" w:cs="Times New Roman"/>
        </w:rPr>
      </w:pPr>
      <w:r w:rsidRPr="00C24F75">
        <w:rPr>
          <w:rStyle w:val="Enfasigrassetto"/>
          <w:rFonts w:ascii="Times New Roman" w:hAnsi="Times New Roman" w:cs="Times New Roman"/>
        </w:rPr>
        <w:t> </w:t>
      </w:r>
    </w:p>
    <w:p w14:paraId="33FCCE5B" w14:textId="621103CB" w:rsidR="00A82193" w:rsidRPr="00FF787D" w:rsidRDefault="00556D7A" w:rsidP="00ED5DB9">
      <w:pPr>
        <w:pStyle w:val="Paragrafoelenco"/>
        <w:numPr>
          <w:ilvl w:val="0"/>
          <w:numId w:val="1"/>
        </w:numPr>
        <w:autoSpaceDE w:val="0"/>
        <w:autoSpaceDN w:val="0"/>
        <w:adjustRightInd w:val="0"/>
        <w:spacing w:line="240" w:lineRule="auto"/>
        <w:ind w:left="0" w:firstLine="709"/>
        <w:jc w:val="both"/>
        <w:rPr>
          <w:rFonts w:ascii="Times New Roman" w:hAnsi="Times New Roman" w:cs="Times New Roman"/>
          <w:b/>
          <w:bCs/>
        </w:rPr>
      </w:pPr>
      <w:r w:rsidRPr="00FF787D">
        <w:rPr>
          <w:rFonts w:ascii="Times New Roman" w:hAnsi="Times New Roman" w:cs="Times New Roman"/>
          <w:b/>
          <w:bCs/>
        </w:rPr>
        <w:t xml:space="preserve">Contenuti </w:t>
      </w:r>
      <w:r w:rsidR="00BA30F1">
        <w:rPr>
          <w:rFonts w:ascii="Times New Roman" w:hAnsi="Times New Roman" w:cs="Times New Roman"/>
          <w:b/>
          <w:bCs/>
        </w:rPr>
        <w:t xml:space="preserve">dispositivo </w:t>
      </w:r>
      <w:r w:rsidRPr="00FF787D">
        <w:rPr>
          <w:rFonts w:ascii="Times New Roman" w:hAnsi="Times New Roman" w:cs="Times New Roman"/>
          <w:b/>
          <w:bCs/>
        </w:rPr>
        <w:t>del provvedimento</w:t>
      </w:r>
    </w:p>
    <w:p w14:paraId="3155597A" w14:textId="77777777" w:rsidR="00F608FB" w:rsidRPr="00FF787D" w:rsidRDefault="00F608FB" w:rsidP="00ED5DB9">
      <w:pPr>
        <w:spacing w:after="0" w:line="240" w:lineRule="auto"/>
        <w:ind w:firstLine="709"/>
        <w:jc w:val="both"/>
        <w:rPr>
          <w:rFonts w:ascii="Times New Roman" w:hAnsi="Times New Roman" w:cs="Times New Roman"/>
        </w:rPr>
      </w:pPr>
      <w:r w:rsidRPr="00FF787D">
        <w:rPr>
          <w:rFonts w:ascii="Times New Roman" w:hAnsi="Times New Roman" w:cs="Times New Roman"/>
        </w:rPr>
        <w:t>La novella del decreto 7 agosto 2025 si rende necessaria al fine di assicurare un’attuazione più efficace, coerente e certa del meccanismo incentivante del Conto Termico, alla luce delle esigenze emerse nella prima fase applicativa, degli approfondimenti istruttori svolti con il Gestore dei Servizi Energetici (GSE), nonché degli elementi di affinamento tecnico-normativo evidenziati in sede di aggiornamento dello schema di decreto e dei relativi allegati. Nell’ambito di tale attività istruttoria sono state, altresì, tenute in considerazione le osservazioni pervenute dalle associazioni di categoria, utili a individuare ulteriori profili suscettibili di chiarimento e perfezionamento.</w:t>
      </w:r>
    </w:p>
    <w:p w14:paraId="32565D16" w14:textId="77777777" w:rsidR="00F608FB" w:rsidRPr="00FF787D" w:rsidRDefault="00F608FB" w:rsidP="00ED5DB9">
      <w:pPr>
        <w:spacing w:after="0" w:line="240" w:lineRule="auto"/>
        <w:ind w:firstLine="709"/>
        <w:jc w:val="both"/>
        <w:rPr>
          <w:rFonts w:ascii="Times New Roman" w:hAnsi="Times New Roman" w:cs="Times New Roman"/>
        </w:rPr>
      </w:pPr>
      <w:r w:rsidRPr="00FF787D">
        <w:rPr>
          <w:rFonts w:ascii="Times New Roman" w:hAnsi="Times New Roman" w:cs="Times New Roman"/>
        </w:rPr>
        <w:lastRenderedPageBreak/>
        <w:t>In particolare, l’intervento di novella è volto a chiarire e perfezionare taluni profili della disciplina vigente che, pur senza modificarne l’impianto sostanziale e le finalità generali, richiedono un aggiornamento puntuale al fine di superare incertezze interpretative, correggere refusi e rimandi non coerenti e assicurare un più stretto coordinamento tra il testo normativo, gli allegati tecnici, le regole applicative e il complessivo assetto dei requisiti di accesso agli incentivi.</w:t>
      </w:r>
    </w:p>
    <w:p w14:paraId="363DDE93" w14:textId="77777777" w:rsidR="00F608FB" w:rsidRPr="00FF787D" w:rsidRDefault="00F608FB" w:rsidP="00ED5DB9">
      <w:pPr>
        <w:spacing w:after="0" w:line="240" w:lineRule="auto"/>
        <w:ind w:firstLine="709"/>
        <w:jc w:val="both"/>
        <w:rPr>
          <w:rFonts w:ascii="Times New Roman" w:hAnsi="Times New Roman" w:cs="Times New Roman"/>
        </w:rPr>
      </w:pPr>
      <w:r w:rsidRPr="00FF787D">
        <w:rPr>
          <w:rFonts w:ascii="Times New Roman" w:hAnsi="Times New Roman" w:cs="Times New Roman"/>
        </w:rPr>
        <w:t>La novella si rende opportuna, inoltre, per meglio allineare la disciplina primaria del meccanismo all’evoluzione del fabbisogno emersa nella fase iniziale di attuazione e per garantire una più ordinata interazione tra assetto delle risorse, criteri di accesso, riserve di spesa ed eventuali ulteriori fonti di finanziamento pubblico concorrenti.</w:t>
      </w:r>
    </w:p>
    <w:p w14:paraId="51D851C2" w14:textId="338EA013" w:rsidR="00F608FB" w:rsidRPr="00FF787D" w:rsidRDefault="00F608FB" w:rsidP="00ED5DB9">
      <w:pPr>
        <w:spacing w:after="0" w:line="240" w:lineRule="auto"/>
        <w:ind w:firstLine="709"/>
        <w:jc w:val="both"/>
        <w:rPr>
          <w:rFonts w:ascii="Times New Roman" w:hAnsi="Times New Roman" w:cs="Times New Roman"/>
        </w:rPr>
      </w:pPr>
      <w:r w:rsidRPr="00FF787D">
        <w:rPr>
          <w:rFonts w:ascii="Times New Roman" w:hAnsi="Times New Roman" w:cs="Times New Roman"/>
        </w:rPr>
        <w:t>La modifica proposta si configura, pertanto, come un intervento di manutenzione normativa e di perfezionamento tecnico della disciplina, finalizzato a recepire gli elementi emersi nella prima attuazione del Conto Termico 3.0, a migliorarne la chiarezza, la coerenza sistematica e la concreta applicabilità, nonché a garantire un più efficace impiego delle risorse disponibili, fermo restando l’impianto complessivo e le finalità di promozione dell’efficienza energetica e della produzione di energia termica da fonti rinnovabili sottese al decreto del 7 agosto 2025.</w:t>
      </w:r>
    </w:p>
    <w:p w14:paraId="1038D26A" w14:textId="72C56E84" w:rsidR="00F8702B" w:rsidRPr="00FF787D" w:rsidRDefault="00422372" w:rsidP="00ED5DB9">
      <w:pPr>
        <w:spacing w:after="0" w:line="240" w:lineRule="auto"/>
        <w:ind w:firstLine="709"/>
        <w:jc w:val="both"/>
        <w:rPr>
          <w:rFonts w:ascii="Times New Roman" w:hAnsi="Times New Roman" w:cs="Times New Roman"/>
        </w:rPr>
      </w:pPr>
      <w:r w:rsidRPr="00FF787D">
        <w:rPr>
          <w:rFonts w:ascii="Times New Roman" w:hAnsi="Times New Roman" w:cs="Times New Roman"/>
        </w:rPr>
        <w:t>Si riportano, sinteticamente, di seguito i contenuti generali dei singoli articoli</w:t>
      </w:r>
      <w:r w:rsidR="00F8702B" w:rsidRPr="00FF787D">
        <w:rPr>
          <w:rFonts w:ascii="Times New Roman" w:hAnsi="Times New Roman" w:cs="Times New Roman"/>
        </w:rPr>
        <w:t>.</w:t>
      </w:r>
    </w:p>
    <w:p w14:paraId="0E1C2AD9" w14:textId="77777777" w:rsidR="00910EB9" w:rsidRDefault="00CA1E78" w:rsidP="00ED5DB9">
      <w:pPr>
        <w:spacing w:before="240" w:after="0" w:line="240" w:lineRule="auto"/>
        <w:ind w:firstLine="709"/>
        <w:jc w:val="both"/>
        <w:rPr>
          <w:rFonts w:ascii="Times New Roman" w:hAnsi="Times New Roman" w:cs="Times New Roman"/>
        </w:rPr>
      </w:pPr>
      <w:r w:rsidRPr="00FF787D">
        <w:rPr>
          <w:rFonts w:ascii="Times New Roman" w:hAnsi="Times New Roman" w:cs="Times New Roman"/>
        </w:rPr>
        <w:t>L’</w:t>
      </w:r>
      <w:r w:rsidR="00BD3ADB" w:rsidRPr="00FF787D">
        <w:rPr>
          <w:rFonts w:ascii="Times New Roman" w:hAnsi="Times New Roman" w:cs="Times New Roman"/>
          <w:b/>
          <w:bCs/>
        </w:rPr>
        <w:t>a</w:t>
      </w:r>
      <w:r w:rsidR="004945B0" w:rsidRPr="00FF787D">
        <w:rPr>
          <w:rFonts w:ascii="Times New Roman" w:hAnsi="Times New Roman" w:cs="Times New Roman"/>
          <w:b/>
          <w:bCs/>
        </w:rPr>
        <w:t>rticolo 1</w:t>
      </w:r>
      <w:r w:rsidR="00BD3ADB" w:rsidRPr="00FF787D">
        <w:rPr>
          <w:rFonts w:ascii="Times New Roman" w:hAnsi="Times New Roman" w:cs="Times New Roman"/>
        </w:rPr>
        <w:t xml:space="preserve"> (</w:t>
      </w:r>
      <w:r w:rsidR="00DD5391">
        <w:rPr>
          <w:rFonts w:ascii="Times New Roman" w:hAnsi="Times New Roman" w:cs="Times New Roman"/>
          <w:i/>
          <w:iCs/>
        </w:rPr>
        <w:t>Oggetto</w:t>
      </w:r>
      <w:r w:rsidR="00BD3ADB" w:rsidRPr="00FF787D">
        <w:rPr>
          <w:rFonts w:ascii="Times New Roman" w:hAnsi="Times New Roman" w:cs="Times New Roman"/>
          <w:i/>
          <w:iCs/>
        </w:rPr>
        <w:t>)</w:t>
      </w:r>
      <w:r w:rsidR="0054517F" w:rsidRPr="00FF787D">
        <w:rPr>
          <w:rFonts w:ascii="Times New Roman" w:hAnsi="Times New Roman" w:cs="Times New Roman"/>
        </w:rPr>
        <w:t xml:space="preserve"> </w:t>
      </w:r>
      <w:r w:rsidR="00910EB9">
        <w:rPr>
          <w:rFonts w:ascii="Times New Roman" w:hAnsi="Times New Roman" w:cs="Times New Roman"/>
        </w:rPr>
        <w:t>i</w:t>
      </w:r>
      <w:r w:rsidR="00910EB9" w:rsidRPr="00910EB9">
        <w:rPr>
          <w:rFonts w:ascii="Times New Roman" w:hAnsi="Times New Roman" w:cs="Times New Roman"/>
        </w:rPr>
        <w:t xml:space="preserve">ndividua l’oggetto del provvedimento e chiarisce che il decreto modifica e integra il decreto 7 agosto 2025 al fine di precisare le modalità di determinazione e gestione dell’impegno di spesa annua cumulata e aggiornare le disposizioni applicabili ai soggetti ammessi e i requisiti tecnici degli interventi. </w:t>
      </w:r>
    </w:p>
    <w:p w14:paraId="123085DA" w14:textId="77777777" w:rsidR="009A6DC2" w:rsidRDefault="00781E95" w:rsidP="00ED5DB9">
      <w:pPr>
        <w:spacing w:before="240" w:after="0" w:line="240" w:lineRule="auto"/>
        <w:ind w:firstLine="709"/>
        <w:jc w:val="both"/>
        <w:rPr>
          <w:rFonts w:ascii="Times New Roman" w:hAnsi="Times New Roman"/>
        </w:rPr>
      </w:pPr>
      <w:r w:rsidRPr="00FF787D">
        <w:rPr>
          <w:rFonts w:ascii="Times New Roman" w:hAnsi="Times New Roman" w:cs="Times New Roman"/>
        </w:rPr>
        <w:t>L’</w:t>
      </w:r>
      <w:r w:rsidR="00BD3ADB" w:rsidRPr="00FF787D">
        <w:rPr>
          <w:rFonts w:ascii="Times New Roman" w:hAnsi="Times New Roman" w:cs="Times New Roman"/>
          <w:b/>
          <w:bCs/>
        </w:rPr>
        <w:t>a</w:t>
      </w:r>
      <w:r w:rsidRPr="00FF787D">
        <w:rPr>
          <w:rFonts w:ascii="Times New Roman" w:hAnsi="Times New Roman" w:cs="Times New Roman"/>
          <w:b/>
          <w:bCs/>
        </w:rPr>
        <w:t>rticolo 2</w:t>
      </w:r>
      <w:r w:rsidR="00BD3ADB" w:rsidRPr="00FF787D">
        <w:rPr>
          <w:rFonts w:ascii="Times New Roman" w:hAnsi="Times New Roman" w:cs="Times New Roman"/>
        </w:rPr>
        <w:t xml:space="preserve"> (</w:t>
      </w:r>
      <w:r w:rsidR="00513C80" w:rsidRPr="00FF787D">
        <w:rPr>
          <w:rFonts w:ascii="Times New Roman" w:hAnsi="Times New Roman" w:cs="Times New Roman"/>
          <w:i/>
          <w:iCs/>
        </w:rPr>
        <w:t>Modifiche all’articolo 2 “Definizioni” del D.M. 7 agosto 2025</w:t>
      </w:r>
      <w:r w:rsidR="00BD3ADB" w:rsidRPr="00FF787D">
        <w:rPr>
          <w:rFonts w:ascii="Times New Roman" w:hAnsi="Times New Roman" w:cs="Times New Roman"/>
        </w:rPr>
        <w:t>)</w:t>
      </w:r>
      <w:r w:rsidR="00616A57" w:rsidRPr="00FF787D">
        <w:rPr>
          <w:rFonts w:ascii="Times New Roman" w:hAnsi="Times New Roman" w:cs="Times New Roman"/>
        </w:rPr>
        <w:t>,</w:t>
      </w:r>
      <w:r w:rsidRPr="00FF787D">
        <w:rPr>
          <w:rFonts w:ascii="Times New Roman" w:hAnsi="Times New Roman" w:cs="Times New Roman"/>
        </w:rPr>
        <w:t xml:space="preserve"> </w:t>
      </w:r>
      <w:r w:rsidR="009A6DC2" w:rsidRPr="009A6DC2">
        <w:rPr>
          <w:rFonts w:ascii="Times New Roman" w:hAnsi="Times New Roman"/>
        </w:rPr>
        <w:t>interviene sul quadro definitorio e sull’ambito oggettivo della misura, integrando la definizione di edificio mediante l’esclusione dalla relativa nozione anche degli immobili appartenenti alla categoria catastale D/7, aggiornando la definizione di “impegno di spesa annua cumulata” con la precisazione delle modalità di calcolo su base pluriennale ed eliminando, dalla definizione di sostituzione di un impianto, l’eccezione riferita all’intervento di cui all’articolo 8, comma 1, lettera c).</w:t>
      </w:r>
    </w:p>
    <w:p w14:paraId="2DC25F9A" w14:textId="1490CDB6" w:rsidR="00F55703" w:rsidRPr="002C07F7" w:rsidRDefault="007D063B" w:rsidP="00ED5DB9">
      <w:pPr>
        <w:spacing w:before="240" w:after="0" w:line="240" w:lineRule="auto"/>
        <w:ind w:firstLine="709"/>
        <w:jc w:val="both"/>
      </w:pPr>
      <w:r w:rsidRPr="002C07F7">
        <w:rPr>
          <w:rFonts w:ascii="Times New Roman" w:hAnsi="Times New Roman" w:cs="Times New Roman"/>
        </w:rPr>
        <w:t>L’</w:t>
      </w:r>
      <w:r w:rsidRPr="002C07F7">
        <w:rPr>
          <w:rFonts w:ascii="Times New Roman" w:hAnsi="Times New Roman" w:cs="Times New Roman"/>
          <w:b/>
          <w:bCs/>
        </w:rPr>
        <w:t>articolo 3</w:t>
      </w:r>
      <w:r w:rsidRPr="002C07F7">
        <w:rPr>
          <w:rFonts w:ascii="Times New Roman" w:hAnsi="Times New Roman" w:cs="Times New Roman"/>
        </w:rPr>
        <w:t xml:space="preserve"> </w:t>
      </w:r>
      <w:r w:rsidR="00BD3ADB" w:rsidRPr="002C07F7">
        <w:rPr>
          <w:rFonts w:ascii="Times New Roman" w:hAnsi="Times New Roman" w:cs="Times New Roman"/>
        </w:rPr>
        <w:t>(</w:t>
      </w:r>
      <w:r w:rsidR="00B516F6" w:rsidRPr="002C07F7">
        <w:rPr>
          <w:rFonts w:ascii="Times New Roman" w:hAnsi="Times New Roman" w:cs="Times New Roman"/>
          <w:i/>
          <w:iCs/>
        </w:rPr>
        <w:t>Modifiche all’articolo 3 “Limiti di spesa annua cumulata per gli incentivi” del D.M. 7 agosto 2025</w:t>
      </w:r>
      <w:r w:rsidR="00BD3ADB" w:rsidRPr="002C07F7">
        <w:rPr>
          <w:rFonts w:ascii="Times New Roman" w:hAnsi="Times New Roman" w:cs="Times New Roman"/>
          <w:i/>
          <w:iCs/>
        </w:rPr>
        <w:t>)</w:t>
      </w:r>
      <w:r w:rsidR="00754D72" w:rsidRPr="002C07F7">
        <w:rPr>
          <w:rFonts w:ascii="Times New Roman" w:hAnsi="Times New Roman" w:cs="Times New Roman"/>
        </w:rPr>
        <w:t xml:space="preserve"> </w:t>
      </w:r>
      <w:r w:rsidR="00F55703" w:rsidRPr="002C07F7">
        <w:rPr>
          <w:rFonts w:ascii="Times New Roman" w:hAnsi="Times New Roman" w:cs="Times New Roman"/>
        </w:rPr>
        <w:t>sostituisce integralmente l’articolo 3 del decreto</w:t>
      </w:r>
      <w:r w:rsidR="00283D6A">
        <w:rPr>
          <w:rFonts w:ascii="Times New Roman" w:hAnsi="Times New Roman" w:cs="Times New Roman"/>
        </w:rPr>
        <w:t xml:space="preserve"> e ridisciplina la </w:t>
      </w:r>
      <w:r w:rsidR="00F55703" w:rsidRPr="002C07F7">
        <w:rPr>
          <w:rFonts w:ascii="Times New Roman" w:hAnsi="Times New Roman" w:cs="Times New Roman"/>
        </w:rPr>
        <w:t>gestione dei limiti di spesa</w:t>
      </w:r>
      <w:r w:rsidR="00283D6A">
        <w:rPr>
          <w:rFonts w:ascii="Times New Roman" w:hAnsi="Times New Roman" w:cs="Times New Roman"/>
        </w:rPr>
        <w:t>.</w:t>
      </w:r>
    </w:p>
    <w:p w14:paraId="7F37296D" w14:textId="10EFC64B" w:rsidR="00283D6A" w:rsidRPr="00283D6A" w:rsidRDefault="00283D6A" w:rsidP="00ED5DB9">
      <w:pPr>
        <w:spacing w:after="0" w:line="240" w:lineRule="auto"/>
        <w:ind w:firstLine="709"/>
        <w:jc w:val="both"/>
        <w:rPr>
          <w:rFonts w:ascii="Times New Roman" w:hAnsi="Times New Roman" w:cs="Times New Roman"/>
        </w:rPr>
      </w:pPr>
      <w:r w:rsidRPr="00283D6A">
        <w:rPr>
          <w:rFonts w:ascii="Times New Roman" w:hAnsi="Times New Roman" w:cs="Times New Roman"/>
        </w:rPr>
        <w:t>Resta fermo il limite complessivo di 900 milioni di euro</w:t>
      </w:r>
      <w:r>
        <w:rPr>
          <w:rFonts w:ascii="Times New Roman" w:hAnsi="Times New Roman" w:cs="Times New Roman"/>
        </w:rPr>
        <w:t>; a</w:t>
      </w:r>
      <w:r w:rsidRPr="00283D6A">
        <w:rPr>
          <w:rFonts w:ascii="Times New Roman" w:hAnsi="Times New Roman" w:cs="Times New Roman"/>
        </w:rPr>
        <w:t xml:space="preserve">l raggiungimento </w:t>
      </w:r>
      <w:r>
        <w:rPr>
          <w:rFonts w:ascii="Times New Roman" w:hAnsi="Times New Roman" w:cs="Times New Roman"/>
        </w:rPr>
        <w:t>di tale</w:t>
      </w:r>
      <w:r w:rsidRPr="00283D6A">
        <w:rPr>
          <w:rFonts w:ascii="Times New Roman" w:hAnsi="Times New Roman" w:cs="Times New Roman"/>
        </w:rPr>
        <w:t xml:space="preserve"> limite sono ammesse, per i sessanta giorni successivi, esclusivamente richieste di accesso diretto. </w:t>
      </w:r>
    </w:p>
    <w:p w14:paraId="023D2AD9" w14:textId="3FC5F73C" w:rsidR="00283D6A" w:rsidRPr="00283D6A" w:rsidRDefault="00283D6A" w:rsidP="00ED5DB9">
      <w:pPr>
        <w:spacing w:after="0" w:line="240" w:lineRule="auto"/>
        <w:ind w:firstLine="709"/>
        <w:jc w:val="both"/>
        <w:rPr>
          <w:rFonts w:ascii="Times New Roman" w:hAnsi="Times New Roman" w:cs="Times New Roman"/>
        </w:rPr>
      </w:pPr>
      <w:r w:rsidRPr="00283D6A">
        <w:rPr>
          <w:rFonts w:ascii="Times New Roman" w:hAnsi="Times New Roman" w:cs="Times New Roman"/>
        </w:rPr>
        <w:t xml:space="preserve">Nell’ambito del </w:t>
      </w:r>
      <w:r>
        <w:rPr>
          <w:rFonts w:ascii="Times New Roman" w:hAnsi="Times New Roman" w:cs="Times New Roman"/>
        </w:rPr>
        <w:t xml:space="preserve">plafond </w:t>
      </w:r>
      <w:r w:rsidRPr="00283D6A">
        <w:rPr>
          <w:rFonts w:ascii="Times New Roman" w:hAnsi="Times New Roman" w:cs="Times New Roman"/>
        </w:rPr>
        <w:t xml:space="preserve">complessivo è prevista una riserva minima di 300 milioni di euro annui per ciascuna delle due categorie di soggetti ammessi di cui agli articoli 4 e 7, anche quando tali soggetti si avvalgono di ESCO o di altri soggetti abilitati. Quando una categoria raggiunge un impegno di spesa annua cumulata pari a 600 milioni di euro, per la medesima categoria sono ammesse, per i sessanta giorni successivi, esclusivamente richieste di accesso diretto. </w:t>
      </w:r>
    </w:p>
    <w:p w14:paraId="7FA16E9E" w14:textId="77777777" w:rsidR="00283D6A" w:rsidRPr="00283D6A" w:rsidRDefault="00283D6A" w:rsidP="00ED5DB9">
      <w:pPr>
        <w:spacing w:after="0" w:line="240" w:lineRule="auto"/>
        <w:ind w:firstLine="709"/>
        <w:jc w:val="both"/>
        <w:rPr>
          <w:rFonts w:ascii="Times New Roman" w:hAnsi="Times New Roman" w:cs="Times New Roman"/>
        </w:rPr>
      </w:pPr>
    </w:p>
    <w:p w14:paraId="5BF277E2" w14:textId="62C18A2B" w:rsidR="00283D6A" w:rsidRPr="007B7E07" w:rsidRDefault="00283D6A" w:rsidP="00ED5DB9">
      <w:pPr>
        <w:spacing w:after="0" w:line="240" w:lineRule="auto"/>
        <w:ind w:firstLine="709"/>
        <w:jc w:val="both"/>
        <w:rPr>
          <w:rFonts w:ascii="Times New Roman" w:hAnsi="Times New Roman" w:cs="Times New Roman"/>
        </w:rPr>
      </w:pPr>
      <w:r w:rsidRPr="00283D6A">
        <w:rPr>
          <w:rFonts w:ascii="Times New Roman" w:hAnsi="Times New Roman" w:cs="Times New Roman"/>
        </w:rPr>
        <w:t xml:space="preserve">La disposizione limita, inoltre, </w:t>
      </w:r>
      <w:r w:rsidRPr="002C07F7">
        <w:rPr>
          <w:rFonts w:ascii="Times New Roman" w:hAnsi="Times New Roman" w:cs="Times New Roman"/>
        </w:rPr>
        <w:t>la quota di risorse destinabile alla procedura di prenotazione, riservando a tale modalità un impegno di spesa non superiore al 50 per cento delle risorse disponibili per le amministrazioni pubbliche</w:t>
      </w:r>
      <w:r w:rsidRPr="00283D6A">
        <w:rPr>
          <w:rFonts w:ascii="Times New Roman" w:hAnsi="Times New Roman" w:cs="Times New Roman"/>
        </w:rPr>
        <w:t xml:space="preserve">; conferma il limite di 20 milioni di euro per gli interventi di diagnosi e certificazione energetica; disciplina la pubblicazione sul sito istituzionale del GSE del raggiungimento delle soglie; consente alla competente Direzione generale del Ministero di rimodulare </w:t>
      </w:r>
      <w:r w:rsidRPr="007B7E07">
        <w:rPr>
          <w:rFonts w:ascii="Times New Roman" w:hAnsi="Times New Roman" w:cs="Times New Roman"/>
        </w:rPr>
        <w:t xml:space="preserve">la riserva sulla base dei dati di monitoraggio resi disponibili dal GSE, fermo restando il limite complessivo. </w:t>
      </w:r>
    </w:p>
    <w:p w14:paraId="44B00C65" w14:textId="5AED357C" w:rsidR="00283D6A" w:rsidRDefault="00283D6A" w:rsidP="00ED5DB9">
      <w:pPr>
        <w:spacing w:after="0" w:line="240" w:lineRule="auto"/>
        <w:ind w:firstLine="709"/>
        <w:jc w:val="both"/>
        <w:rPr>
          <w:rFonts w:ascii="Times New Roman" w:hAnsi="Times New Roman" w:cs="Times New Roman"/>
        </w:rPr>
      </w:pPr>
      <w:r w:rsidRPr="007B7E07">
        <w:rPr>
          <w:rFonts w:ascii="Times New Roman" w:hAnsi="Times New Roman" w:cs="Times New Roman"/>
        </w:rPr>
        <w:t xml:space="preserve">È infine prevista la possibilità di destinare, con decreto del Ministro dell’ambiente e della sicurezza energetica, una quota dell’impegno massimo di spesa annua cumulata alle procedure </w:t>
      </w:r>
      <w:r w:rsidR="00A0509B" w:rsidRPr="007B7E07">
        <w:rPr>
          <w:rFonts w:ascii="Times New Roman" w:hAnsi="Times New Roman" w:cs="Times New Roman"/>
        </w:rPr>
        <w:t xml:space="preserve">di accesso competitivo </w:t>
      </w:r>
      <w:r w:rsidRPr="007B7E07">
        <w:rPr>
          <w:rFonts w:ascii="Times New Roman" w:hAnsi="Times New Roman" w:cs="Times New Roman"/>
        </w:rPr>
        <w:t>di cui all’articolo 10, comma 1, lettera a), del decreto legislativo n. 199 del 2021, con imputazione proporzionale della quota alle risorse destinate alle categorie di soggetti ammessi.</w:t>
      </w:r>
    </w:p>
    <w:p w14:paraId="2530D7A5" w14:textId="35635D5A" w:rsidR="00F12B6D" w:rsidRPr="00A0509B" w:rsidRDefault="00F12B6D" w:rsidP="00ED5DB9">
      <w:pPr>
        <w:spacing w:before="240" w:after="0" w:line="240" w:lineRule="auto"/>
        <w:ind w:firstLine="709"/>
        <w:jc w:val="both"/>
        <w:rPr>
          <w:rFonts w:ascii="Times New Roman" w:hAnsi="Times New Roman" w:cs="Times New Roman"/>
        </w:rPr>
      </w:pPr>
      <w:r w:rsidRPr="00A0509B">
        <w:rPr>
          <w:rFonts w:ascii="Times New Roman" w:hAnsi="Times New Roman" w:cs="Times New Roman"/>
        </w:rPr>
        <w:lastRenderedPageBreak/>
        <w:t>L’</w:t>
      </w:r>
      <w:r w:rsidRPr="00A0509B">
        <w:rPr>
          <w:rFonts w:ascii="Times New Roman" w:hAnsi="Times New Roman" w:cs="Times New Roman"/>
          <w:b/>
          <w:bCs/>
        </w:rPr>
        <w:t>articolo 4</w:t>
      </w:r>
      <w:r w:rsidRPr="00A0509B">
        <w:rPr>
          <w:rFonts w:ascii="Times New Roman" w:hAnsi="Times New Roman" w:cs="Times New Roman"/>
        </w:rPr>
        <w:t xml:space="preserve"> (</w:t>
      </w:r>
      <w:r w:rsidRPr="00A0509B">
        <w:rPr>
          <w:rFonts w:ascii="Times New Roman" w:hAnsi="Times New Roman" w:cs="Times New Roman"/>
          <w:i/>
          <w:iCs/>
        </w:rPr>
        <w:t>Modifiche all’articolo 11 “Erogazione e durata dell'incentivo” del D.M. 7 agosto 2025)</w:t>
      </w:r>
      <w:r w:rsidRPr="00A0509B">
        <w:rPr>
          <w:rFonts w:ascii="Times New Roman" w:hAnsi="Times New Roman" w:cs="Times New Roman"/>
        </w:rPr>
        <w:t xml:space="preserve"> </w:t>
      </w:r>
      <w:r w:rsidR="00A0509B" w:rsidRPr="00A0509B">
        <w:rPr>
          <w:rStyle w:val="normaltextrun"/>
          <w:rFonts w:ascii="Times New Roman" w:hAnsi="Times New Roman" w:cs="Times New Roman"/>
          <w:color w:val="000000"/>
          <w:shd w:val="clear" w:color="auto" w:fill="FFFFFF"/>
        </w:rPr>
        <w:t>ridefinisce le deroghe all’ordinaria intensità dell’incentivo.</w:t>
      </w:r>
    </w:p>
    <w:p w14:paraId="696D9FAB" w14:textId="77777777" w:rsidR="00235856" w:rsidRPr="00CC0A18" w:rsidRDefault="00EC684E" w:rsidP="00ED5DB9">
      <w:pPr>
        <w:spacing w:after="0" w:line="240" w:lineRule="auto"/>
        <w:ind w:firstLine="709"/>
        <w:jc w:val="both"/>
        <w:rPr>
          <w:rFonts w:ascii="Times New Roman" w:hAnsi="Times New Roman" w:cs="Times New Roman"/>
        </w:rPr>
      </w:pPr>
      <w:r w:rsidRPr="00CC0A18">
        <w:rPr>
          <w:rFonts w:ascii="Times New Roman" w:hAnsi="Times New Roman" w:cs="Times New Roman"/>
        </w:rPr>
        <w:t>In particolare, la disposizione ridefinisce il regime per i comuni con popolazione fino a 15.000 abitanti, prevedendo una riduzione all’80% per gli interventi successivi al primo, per il quale resta confermato il riconoscimento dell’incentivo nella misura del 100%, e introduce una soglia massima pari a 50.000 euro per l’erogazione in un’unica rata nell’ambito dell’accesso diretto.</w:t>
      </w:r>
    </w:p>
    <w:p w14:paraId="50E4BF54" w14:textId="77777777" w:rsidR="00F12B6D" w:rsidRPr="00FF787D" w:rsidRDefault="00F12B6D" w:rsidP="00ED5DB9">
      <w:pPr>
        <w:spacing w:after="0" w:line="240" w:lineRule="auto"/>
        <w:ind w:firstLine="709"/>
        <w:jc w:val="both"/>
        <w:rPr>
          <w:rFonts w:ascii="Times New Roman" w:hAnsi="Times New Roman" w:cs="Times New Roman"/>
        </w:rPr>
      </w:pPr>
      <w:r w:rsidRPr="00FF787D">
        <w:rPr>
          <w:rFonts w:ascii="Times New Roman" w:hAnsi="Times New Roman" w:cs="Times New Roman"/>
        </w:rPr>
        <w:t>Le modifiche mirano a garantire una maggiore sostenibilità finanziaria e a razionalizzare le modalità di erogazione.</w:t>
      </w:r>
    </w:p>
    <w:p w14:paraId="0C5ACA85" w14:textId="49E1200D" w:rsidR="00FC7893" w:rsidRPr="00FF787D" w:rsidRDefault="00235856" w:rsidP="00ED5DB9">
      <w:pPr>
        <w:spacing w:before="240" w:after="0" w:line="240" w:lineRule="auto"/>
        <w:ind w:firstLine="709"/>
        <w:jc w:val="both"/>
        <w:rPr>
          <w:rFonts w:ascii="Times New Roman" w:hAnsi="Times New Roman" w:cs="Times New Roman"/>
        </w:rPr>
      </w:pPr>
      <w:r w:rsidRPr="00FF787D">
        <w:rPr>
          <w:rFonts w:ascii="Times New Roman" w:hAnsi="Times New Roman" w:cs="Times New Roman"/>
        </w:rPr>
        <w:t>L’</w:t>
      </w:r>
      <w:r w:rsidRPr="00FF787D">
        <w:rPr>
          <w:rFonts w:ascii="Times New Roman" w:hAnsi="Times New Roman" w:cs="Times New Roman"/>
          <w:b/>
          <w:bCs/>
        </w:rPr>
        <w:t>articolo 5</w:t>
      </w:r>
      <w:r w:rsidRPr="00FF787D">
        <w:rPr>
          <w:rFonts w:ascii="Times New Roman" w:hAnsi="Times New Roman" w:cs="Times New Roman"/>
        </w:rPr>
        <w:t xml:space="preserve"> (</w:t>
      </w:r>
      <w:r w:rsidRPr="00FF787D">
        <w:rPr>
          <w:rFonts w:ascii="Times New Roman" w:hAnsi="Times New Roman" w:cs="Times New Roman"/>
          <w:i/>
          <w:iCs/>
        </w:rPr>
        <w:t>Modifiche all’articolo 13 “Modalità di accesso tramite ESCO ed altri soggetti abilitati” del D.M. 7 agosto 2025)</w:t>
      </w:r>
      <w:r w:rsidR="008639AC" w:rsidRPr="00FF787D">
        <w:rPr>
          <w:rFonts w:ascii="Times New Roman" w:hAnsi="Times New Roman" w:cs="Times New Roman"/>
        </w:rPr>
        <w:t xml:space="preserve"> chiarisce che le amministrazioni pubbliche possono avvalersi delle ESCO anche nell’ambito di partenariati pubblico-privati. Tale disposizione ha natura essenzialmente </w:t>
      </w:r>
      <w:r w:rsidR="00B874A6">
        <w:rPr>
          <w:rFonts w:ascii="Times New Roman" w:hAnsi="Times New Roman" w:cs="Times New Roman"/>
        </w:rPr>
        <w:t>chiarificatrice</w:t>
      </w:r>
      <w:r w:rsidR="008639AC" w:rsidRPr="00FF787D">
        <w:rPr>
          <w:rFonts w:ascii="Times New Roman" w:hAnsi="Times New Roman" w:cs="Times New Roman"/>
        </w:rPr>
        <w:t>, volta a esplicitare una possibilità</w:t>
      </w:r>
      <w:r w:rsidR="00B874A6">
        <w:rPr>
          <w:rFonts w:ascii="Times New Roman" w:hAnsi="Times New Roman" w:cs="Times New Roman"/>
        </w:rPr>
        <w:t xml:space="preserve"> interpretativa</w:t>
      </w:r>
      <w:r w:rsidR="008639AC" w:rsidRPr="00FF787D">
        <w:rPr>
          <w:rFonts w:ascii="Times New Roman" w:hAnsi="Times New Roman" w:cs="Times New Roman"/>
        </w:rPr>
        <w:t xml:space="preserve"> già implicitamente prevista</w:t>
      </w:r>
      <w:r w:rsidR="00866BCF" w:rsidRPr="00FF787D">
        <w:rPr>
          <w:rFonts w:ascii="Times New Roman" w:hAnsi="Times New Roman" w:cs="Times New Roman"/>
        </w:rPr>
        <w:t xml:space="preserve"> nel decreto</w:t>
      </w:r>
      <w:r w:rsidR="008639AC" w:rsidRPr="00FF787D">
        <w:rPr>
          <w:rFonts w:ascii="Times New Roman" w:hAnsi="Times New Roman" w:cs="Times New Roman"/>
        </w:rPr>
        <w:t>.</w:t>
      </w:r>
    </w:p>
    <w:p w14:paraId="474C1806" w14:textId="77777777" w:rsidR="001818ED" w:rsidRPr="00FF787D" w:rsidRDefault="00235856" w:rsidP="00ED5DB9">
      <w:pPr>
        <w:spacing w:before="240" w:after="0" w:line="240" w:lineRule="auto"/>
        <w:ind w:firstLine="709"/>
        <w:jc w:val="both"/>
        <w:rPr>
          <w:rFonts w:ascii="Times New Roman" w:hAnsi="Times New Roman" w:cs="Times New Roman"/>
        </w:rPr>
      </w:pPr>
      <w:r w:rsidRPr="00FF787D">
        <w:rPr>
          <w:rFonts w:ascii="Times New Roman" w:hAnsi="Times New Roman" w:cs="Times New Roman"/>
        </w:rPr>
        <w:t>L’</w:t>
      </w:r>
      <w:r w:rsidRPr="00FF787D">
        <w:rPr>
          <w:rFonts w:ascii="Times New Roman" w:hAnsi="Times New Roman" w:cs="Times New Roman"/>
          <w:b/>
          <w:bCs/>
        </w:rPr>
        <w:t>articolo 6</w:t>
      </w:r>
      <w:r w:rsidRPr="00FF787D">
        <w:rPr>
          <w:rFonts w:ascii="Times New Roman" w:hAnsi="Times New Roman" w:cs="Times New Roman"/>
        </w:rPr>
        <w:t xml:space="preserve"> (</w:t>
      </w:r>
      <w:r w:rsidRPr="00FF787D">
        <w:rPr>
          <w:rFonts w:ascii="Times New Roman" w:hAnsi="Times New Roman" w:cs="Times New Roman"/>
          <w:i/>
          <w:iCs/>
        </w:rPr>
        <w:t>Modifiche all’articolo 14 “Procedura di accesso agli incentivi” del D.M. 7 agosto 2025)</w:t>
      </w:r>
      <w:r w:rsidR="00866BCF" w:rsidRPr="00FF787D">
        <w:rPr>
          <w:rFonts w:ascii="Times New Roman" w:hAnsi="Times New Roman" w:cs="Times New Roman"/>
          <w:i/>
          <w:iCs/>
        </w:rPr>
        <w:t xml:space="preserve"> </w:t>
      </w:r>
      <w:r w:rsidR="001818ED" w:rsidRPr="00FF787D">
        <w:rPr>
          <w:rFonts w:ascii="Times New Roman" w:hAnsi="Times New Roman" w:cs="Times New Roman"/>
        </w:rPr>
        <w:t>interviene sulla disciplina della procedura di accesso agli incentivi, al fine di coordinarla con il nuovo assetto di gestione delle risorse e con i limiti di spesa annua cumulata.</w:t>
      </w:r>
    </w:p>
    <w:p w14:paraId="103352D3" w14:textId="764B6D82" w:rsidR="00DE30A9" w:rsidRPr="00DE30A9" w:rsidRDefault="001818ED" w:rsidP="00ED5DB9">
      <w:pPr>
        <w:spacing w:after="0" w:line="240" w:lineRule="auto"/>
        <w:ind w:firstLine="709"/>
        <w:jc w:val="both"/>
        <w:rPr>
          <w:rFonts w:ascii="Times New Roman" w:hAnsi="Times New Roman" w:cs="Times New Roman"/>
        </w:rPr>
      </w:pPr>
      <w:r w:rsidRPr="00FF787D">
        <w:rPr>
          <w:rFonts w:ascii="Times New Roman" w:hAnsi="Times New Roman" w:cs="Times New Roman"/>
        </w:rPr>
        <w:t xml:space="preserve">In particolare, la disposizione </w:t>
      </w:r>
      <w:r w:rsidR="00DE30A9" w:rsidRPr="00DE30A9">
        <w:rPr>
          <w:rFonts w:ascii="Times New Roman" w:hAnsi="Times New Roman" w:cs="Times New Roman"/>
        </w:rPr>
        <w:t>elimina la previsione secondo cui, in caso di ricorso a un contratto di prestazione energetica, lo schema tipo del contratto debba essere allegato all’atto amministrativo adottato ai fini della prenotazione dell’incentivo. La modifica è finalizzata a semplificare gli adempimenti documentali richiesti in fase di accesso tramite prenotazione, ferma restando la possibilità per i soggetti ammessi di operare direttamente o per il tramite di una ESCO.</w:t>
      </w:r>
    </w:p>
    <w:p w14:paraId="061B56F6" w14:textId="1BFD2DF7" w:rsidR="00235856" w:rsidRPr="00FF787D" w:rsidRDefault="00866BCF" w:rsidP="00ED5DB9">
      <w:pPr>
        <w:spacing w:after="0" w:line="240" w:lineRule="auto"/>
        <w:ind w:firstLine="709"/>
        <w:jc w:val="both"/>
        <w:rPr>
          <w:rFonts w:ascii="Times New Roman" w:hAnsi="Times New Roman" w:cs="Times New Roman"/>
          <w:i/>
          <w:iCs/>
        </w:rPr>
      </w:pPr>
      <w:r w:rsidRPr="00FF787D">
        <w:rPr>
          <w:rFonts w:ascii="Times New Roman" w:hAnsi="Times New Roman" w:cs="Times New Roman"/>
        </w:rPr>
        <w:t>La modifica è volta a rendere più lineare la gestione delle richieste</w:t>
      </w:r>
      <w:r w:rsidRPr="00FF787D">
        <w:rPr>
          <w:rFonts w:ascii="Times New Roman" w:hAnsi="Times New Roman" w:cs="Times New Roman"/>
          <w:i/>
          <w:iCs/>
        </w:rPr>
        <w:t>.</w:t>
      </w:r>
    </w:p>
    <w:p w14:paraId="550051DE" w14:textId="77777777" w:rsidR="0079342D" w:rsidRDefault="00235856" w:rsidP="00ED5DB9">
      <w:pPr>
        <w:spacing w:before="240" w:after="0" w:line="240" w:lineRule="auto"/>
        <w:ind w:firstLine="709"/>
        <w:jc w:val="both"/>
        <w:rPr>
          <w:rFonts w:ascii="Times New Roman" w:hAnsi="Times New Roman" w:cs="Times New Roman"/>
        </w:rPr>
      </w:pPr>
      <w:r w:rsidRPr="00FF787D">
        <w:rPr>
          <w:rFonts w:ascii="Times New Roman" w:hAnsi="Times New Roman" w:cs="Times New Roman"/>
        </w:rPr>
        <w:t>L’</w:t>
      </w:r>
      <w:r w:rsidRPr="00FF787D">
        <w:rPr>
          <w:rFonts w:ascii="Times New Roman" w:hAnsi="Times New Roman" w:cs="Times New Roman"/>
          <w:b/>
          <w:bCs/>
        </w:rPr>
        <w:t>articolo 7</w:t>
      </w:r>
      <w:r w:rsidRPr="00FF787D">
        <w:rPr>
          <w:rFonts w:ascii="Times New Roman" w:hAnsi="Times New Roman" w:cs="Times New Roman"/>
        </w:rPr>
        <w:t xml:space="preserve"> (</w:t>
      </w:r>
      <w:r w:rsidRPr="00FF787D">
        <w:rPr>
          <w:rFonts w:ascii="Times New Roman" w:hAnsi="Times New Roman" w:cs="Times New Roman"/>
          <w:i/>
          <w:iCs/>
        </w:rPr>
        <w:t>Modifiche all’articolo 15 “Diagnosi e certificazione energetica” del D.M. 7 agosto 2025)</w:t>
      </w:r>
      <w:r w:rsidR="00F1389E" w:rsidRPr="00FF787D">
        <w:rPr>
          <w:rFonts w:ascii="Times New Roman" w:eastAsia="Times New Roman" w:hAnsi="Times New Roman" w:cs="Times New Roman"/>
          <w:kern w:val="0"/>
          <w:lang w:eastAsia="it-IT"/>
          <w14:ligatures w14:val="none"/>
        </w:rPr>
        <w:t xml:space="preserve"> </w:t>
      </w:r>
      <w:r w:rsidR="0079342D" w:rsidRPr="0079342D">
        <w:rPr>
          <w:rFonts w:ascii="Times New Roman" w:hAnsi="Times New Roman" w:cs="Times New Roman"/>
        </w:rPr>
        <w:t xml:space="preserve">reca disposizioni di coordinamento e perfezionamento della disciplina relativa agli obblighi di diagnosi energetica e di certificazione energetica. In particolare, la modifica del comma 1 estende l’obbligo di acquisizione dell’Attestato di Prestazione Energetica (APE) post intervento e, conseguentemente, della diagnosi energetica nei casi previsti dalla disciplina vigente, anche agli interventi relativi alla sostituzione di infissi e all’installazione di schermature solari. L’intervento è finalizzato ad ampliare le fattispecie per le quali è richiesta la redazione dell’APE post-operam, incrementando la disponibilità di dati sul patrimonio immobiliare nazionale e contribuendo al rafforzamento delle attività di monitoraggio e valutazione delle prestazioni energetiche degli edifici, in linea con l’evoluzione del quadro europeo in materia di prestazione energetica degli edifici. </w:t>
      </w:r>
    </w:p>
    <w:p w14:paraId="398162F8" w14:textId="6214DA1C" w:rsidR="0079342D" w:rsidRPr="0079342D" w:rsidRDefault="0079342D" w:rsidP="00ED5DB9">
      <w:pPr>
        <w:spacing w:after="0" w:line="240" w:lineRule="auto"/>
        <w:ind w:firstLine="709"/>
        <w:jc w:val="both"/>
        <w:rPr>
          <w:rFonts w:ascii="Times New Roman" w:hAnsi="Times New Roman" w:cs="Times New Roman"/>
        </w:rPr>
      </w:pPr>
      <w:r w:rsidRPr="0079342D">
        <w:rPr>
          <w:rFonts w:ascii="Times New Roman" w:hAnsi="Times New Roman" w:cs="Times New Roman"/>
        </w:rPr>
        <w:t>L’articolo provvede inoltre a correggere un rinvio interno contenuto nel comma 8, al fine di garantire la coerenza e la corretta applicazione della disposizione.</w:t>
      </w:r>
    </w:p>
    <w:p w14:paraId="2F418754" w14:textId="47066FD3" w:rsidR="00F1389E" w:rsidRPr="00FF787D" w:rsidRDefault="00235856" w:rsidP="00ED5DB9">
      <w:pPr>
        <w:spacing w:before="240" w:after="0" w:line="240" w:lineRule="auto"/>
        <w:ind w:firstLine="709"/>
        <w:jc w:val="both"/>
        <w:rPr>
          <w:rFonts w:ascii="Times New Roman" w:hAnsi="Times New Roman" w:cs="Times New Roman"/>
        </w:rPr>
      </w:pPr>
      <w:r w:rsidRPr="00FF787D">
        <w:rPr>
          <w:rFonts w:ascii="Times New Roman" w:hAnsi="Times New Roman" w:cs="Times New Roman"/>
        </w:rPr>
        <w:t>L’</w:t>
      </w:r>
      <w:r w:rsidRPr="00FF787D">
        <w:rPr>
          <w:rFonts w:ascii="Times New Roman" w:hAnsi="Times New Roman" w:cs="Times New Roman"/>
          <w:b/>
          <w:bCs/>
        </w:rPr>
        <w:t>articolo 8</w:t>
      </w:r>
      <w:r w:rsidRPr="00FF787D">
        <w:rPr>
          <w:rFonts w:ascii="Times New Roman" w:hAnsi="Times New Roman" w:cs="Times New Roman"/>
        </w:rPr>
        <w:t xml:space="preserve"> (</w:t>
      </w:r>
      <w:r w:rsidRPr="00FF787D">
        <w:rPr>
          <w:rFonts w:ascii="Times New Roman" w:hAnsi="Times New Roman" w:cs="Times New Roman"/>
          <w:i/>
          <w:iCs/>
        </w:rPr>
        <w:t>Modifiche all’articolo 17 “Cumulabilità” del D.M. 7 agosto 2025)</w:t>
      </w:r>
      <w:r w:rsidR="00F1389E" w:rsidRPr="00FF787D">
        <w:rPr>
          <w:rFonts w:ascii="Times New Roman" w:hAnsi="Times New Roman" w:cs="Times New Roman"/>
          <w:i/>
          <w:iCs/>
        </w:rPr>
        <w:t xml:space="preserve"> </w:t>
      </w:r>
      <w:r w:rsidR="00F1389E" w:rsidRPr="00FF787D">
        <w:rPr>
          <w:rFonts w:ascii="Times New Roman" w:hAnsi="Times New Roman" w:cs="Times New Roman"/>
        </w:rPr>
        <w:t>apporta una modifica di carattere meramente formale, eliminando un riferimento testuale non necessario e migliorando la chiarezza della disposizione.</w:t>
      </w:r>
    </w:p>
    <w:p w14:paraId="31817EFA" w14:textId="1374A838" w:rsidR="00F1389E" w:rsidRPr="00FF787D" w:rsidRDefault="00235856" w:rsidP="00ED5DB9">
      <w:pPr>
        <w:spacing w:before="240" w:after="0" w:line="240" w:lineRule="auto"/>
        <w:ind w:firstLine="709"/>
        <w:jc w:val="both"/>
        <w:rPr>
          <w:rFonts w:ascii="Times New Roman" w:hAnsi="Times New Roman" w:cs="Times New Roman"/>
          <w:i/>
          <w:iCs/>
        </w:rPr>
      </w:pPr>
      <w:r w:rsidRPr="00FF787D">
        <w:rPr>
          <w:rFonts w:ascii="Times New Roman" w:hAnsi="Times New Roman" w:cs="Times New Roman"/>
        </w:rPr>
        <w:t>L’</w:t>
      </w:r>
      <w:r w:rsidRPr="00FF787D">
        <w:rPr>
          <w:rFonts w:ascii="Times New Roman" w:hAnsi="Times New Roman" w:cs="Times New Roman"/>
          <w:b/>
          <w:bCs/>
        </w:rPr>
        <w:t>articolo 9</w:t>
      </w:r>
      <w:r w:rsidRPr="00FF787D">
        <w:rPr>
          <w:rFonts w:ascii="Times New Roman" w:hAnsi="Times New Roman" w:cs="Times New Roman"/>
        </w:rPr>
        <w:t xml:space="preserve"> (</w:t>
      </w:r>
      <w:r w:rsidRPr="00FF787D">
        <w:rPr>
          <w:rFonts w:ascii="Times New Roman" w:hAnsi="Times New Roman" w:cs="Times New Roman"/>
          <w:i/>
          <w:iCs/>
        </w:rPr>
        <w:t>Modifiche all’articolo 19 “Adempimenti a carico del GSE” del D.M. 7 agosto 2025</w:t>
      </w:r>
      <w:r w:rsidRPr="00FF787D">
        <w:rPr>
          <w:rFonts w:ascii="Times New Roman" w:hAnsi="Times New Roman" w:cs="Times New Roman"/>
        </w:rPr>
        <w:t>)</w:t>
      </w:r>
      <w:r w:rsidR="00F1389E" w:rsidRPr="00FF787D">
        <w:rPr>
          <w:rFonts w:ascii="Times New Roman" w:hAnsi="Times New Roman" w:cs="Times New Roman"/>
        </w:rPr>
        <w:t xml:space="preserve"> </w:t>
      </w:r>
      <w:r w:rsidR="00CA200B">
        <w:rPr>
          <w:rFonts w:ascii="Times New Roman" w:hAnsi="Times New Roman" w:cs="Times New Roman"/>
        </w:rPr>
        <w:t>sostituisce</w:t>
      </w:r>
      <w:r w:rsidR="00F1389E" w:rsidRPr="00FF787D">
        <w:rPr>
          <w:rFonts w:ascii="Times New Roman" w:hAnsi="Times New Roman" w:cs="Times New Roman"/>
        </w:rPr>
        <w:t xml:space="preserve"> il comma 6, </w:t>
      </w:r>
      <w:r w:rsidR="00CA200B">
        <w:rPr>
          <w:rFonts w:ascii="Times New Roman" w:hAnsi="Times New Roman" w:cs="Times New Roman"/>
        </w:rPr>
        <w:t>adeguando</w:t>
      </w:r>
      <w:r w:rsidR="00F1389E" w:rsidRPr="00FF787D">
        <w:rPr>
          <w:rFonts w:ascii="Times New Roman" w:hAnsi="Times New Roman" w:cs="Times New Roman"/>
        </w:rPr>
        <w:t xml:space="preserve"> </w:t>
      </w:r>
      <w:r w:rsidR="00CA200B" w:rsidRPr="00CA200B">
        <w:rPr>
          <w:rFonts w:ascii="Times New Roman" w:hAnsi="Times New Roman" w:cs="Times New Roman"/>
        </w:rPr>
        <w:t>gli obblighi di monitoraggio del GSE al nuovo assetto dei limiti.</w:t>
      </w:r>
      <w:r w:rsidR="00CA200B">
        <w:rPr>
          <w:rFonts w:ascii="Times New Roman" w:hAnsi="Times New Roman" w:cs="Times New Roman"/>
        </w:rPr>
        <w:t xml:space="preserve"> Il</w:t>
      </w:r>
      <w:r w:rsidR="00F1389E" w:rsidRPr="00FF787D">
        <w:rPr>
          <w:rFonts w:ascii="Times New Roman" w:hAnsi="Times New Roman" w:cs="Times New Roman"/>
        </w:rPr>
        <w:t xml:space="preserve"> GSE aggiorn</w:t>
      </w:r>
      <w:r w:rsidR="00CA200B">
        <w:rPr>
          <w:rFonts w:ascii="Times New Roman" w:hAnsi="Times New Roman" w:cs="Times New Roman"/>
        </w:rPr>
        <w:t>a</w:t>
      </w:r>
      <w:r w:rsidR="00F1389E" w:rsidRPr="00FF787D">
        <w:rPr>
          <w:rFonts w:ascii="Times New Roman" w:hAnsi="Times New Roman" w:cs="Times New Roman"/>
        </w:rPr>
        <w:t xml:space="preserve"> con continuità il contatore relativo all’impegno di spesa annua cumulata sul proprio sito istituzionale. </w:t>
      </w:r>
    </w:p>
    <w:p w14:paraId="6F41B6F3" w14:textId="4FF10A12" w:rsidR="00235856" w:rsidRDefault="00F1389E" w:rsidP="00ED5DB9">
      <w:pPr>
        <w:spacing w:after="0" w:line="240" w:lineRule="auto"/>
        <w:ind w:firstLine="709"/>
        <w:jc w:val="both"/>
        <w:rPr>
          <w:rFonts w:ascii="Times New Roman" w:hAnsi="Times New Roman" w:cs="Times New Roman"/>
        </w:rPr>
      </w:pPr>
      <w:r w:rsidRPr="00FF787D">
        <w:rPr>
          <w:rFonts w:ascii="Times New Roman" w:hAnsi="Times New Roman" w:cs="Times New Roman"/>
        </w:rPr>
        <w:t>La modifica è finalizzata a garantire un monitoraggio più trasparente ed efficace.</w:t>
      </w:r>
    </w:p>
    <w:p w14:paraId="1B8D9578" w14:textId="114D68FA" w:rsidR="00106D06" w:rsidRPr="00FF787D" w:rsidRDefault="00106D06" w:rsidP="00106D06">
      <w:pPr>
        <w:spacing w:before="240" w:after="0" w:line="240" w:lineRule="auto"/>
        <w:ind w:firstLine="709"/>
        <w:jc w:val="both"/>
        <w:rPr>
          <w:rFonts w:ascii="Times New Roman" w:hAnsi="Times New Roman" w:cs="Times New Roman"/>
        </w:rPr>
      </w:pPr>
      <w:r w:rsidRPr="00FF787D">
        <w:rPr>
          <w:rFonts w:ascii="Times New Roman" w:hAnsi="Times New Roman" w:cs="Times New Roman"/>
        </w:rPr>
        <w:t>L’</w:t>
      </w:r>
      <w:r w:rsidRPr="00FF787D">
        <w:rPr>
          <w:rFonts w:ascii="Times New Roman" w:hAnsi="Times New Roman" w:cs="Times New Roman"/>
          <w:b/>
          <w:bCs/>
        </w:rPr>
        <w:t>articolo 1</w:t>
      </w:r>
      <w:r>
        <w:rPr>
          <w:rFonts w:ascii="Times New Roman" w:hAnsi="Times New Roman" w:cs="Times New Roman"/>
          <w:b/>
          <w:bCs/>
        </w:rPr>
        <w:t>0</w:t>
      </w:r>
      <w:r w:rsidRPr="00FF787D">
        <w:rPr>
          <w:rFonts w:ascii="Times New Roman" w:hAnsi="Times New Roman" w:cs="Times New Roman"/>
        </w:rPr>
        <w:t xml:space="preserve"> (</w:t>
      </w:r>
      <w:r w:rsidRPr="00106D06">
        <w:rPr>
          <w:rFonts w:ascii="Times New Roman" w:hAnsi="Times New Roman" w:cs="Times New Roman"/>
          <w:i/>
          <w:iCs/>
        </w:rPr>
        <w:t>Modifiche all’articolo 21 “Verifiche, controlli e sanzioni” del D.M. 7 agosto 2025</w:t>
      </w:r>
      <w:r w:rsidRPr="00FF787D">
        <w:rPr>
          <w:rFonts w:ascii="Times New Roman" w:hAnsi="Times New Roman" w:cs="Times New Roman"/>
          <w:i/>
          <w:iCs/>
        </w:rPr>
        <w:t xml:space="preserve">) </w:t>
      </w:r>
      <w:r w:rsidRPr="00106D06">
        <w:rPr>
          <w:rFonts w:ascii="Times New Roman" w:hAnsi="Times New Roman" w:cs="Times New Roman"/>
        </w:rPr>
        <w:t xml:space="preserve">integra la disciplina relativa al recupero degli incentivi indebitamente percepiti nei casi di accesso al meccanismo mediante mandato all’incasso. In particolare, la disposizione prevede che il GSE possa esercitare l’azione di recupero anche nei confronti del mandatario che abbia riscosso le </w:t>
      </w:r>
      <w:r w:rsidRPr="00106D06">
        <w:rPr>
          <w:rFonts w:ascii="Times New Roman" w:hAnsi="Times New Roman" w:cs="Times New Roman"/>
        </w:rPr>
        <w:lastRenderedPageBreak/>
        <w:t xml:space="preserve">somme oggetto di recupero, nei limiti degli importi effettivamente percepiti in esecuzione del mandato. </w:t>
      </w:r>
    </w:p>
    <w:p w14:paraId="63899600" w14:textId="7BA60E7A" w:rsidR="004A3BB0" w:rsidRPr="00FF787D" w:rsidRDefault="00235856" w:rsidP="00ED5DB9">
      <w:pPr>
        <w:spacing w:before="240" w:after="0" w:line="240" w:lineRule="auto"/>
        <w:ind w:firstLine="709"/>
        <w:jc w:val="both"/>
        <w:rPr>
          <w:rFonts w:ascii="Times New Roman" w:hAnsi="Times New Roman" w:cs="Times New Roman"/>
        </w:rPr>
      </w:pPr>
      <w:r w:rsidRPr="00FF787D">
        <w:rPr>
          <w:rFonts w:ascii="Times New Roman" w:hAnsi="Times New Roman" w:cs="Times New Roman"/>
        </w:rPr>
        <w:t>L’</w:t>
      </w:r>
      <w:r w:rsidRPr="00FF787D">
        <w:rPr>
          <w:rFonts w:ascii="Times New Roman" w:hAnsi="Times New Roman" w:cs="Times New Roman"/>
          <w:b/>
          <w:bCs/>
        </w:rPr>
        <w:t>articolo 1</w:t>
      </w:r>
      <w:r w:rsidR="000E6643">
        <w:rPr>
          <w:rFonts w:ascii="Times New Roman" w:hAnsi="Times New Roman" w:cs="Times New Roman"/>
          <w:b/>
          <w:bCs/>
        </w:rPr>
        <w:t>1</w:t>
      </w:r>
      <w:r w:rsidRPr="00FF787D">
        <w:rPr>
          <w:rFonts w:ascii="Times New Roman" w:hAnsi="Times New Roman" w:cs="Times New Roman"/>
        </w:rPr>
        <w:t xml:space="preserve"> (</w:t>
      </w:r>
      <w:r w:rsidR="00F1389E" w:rsidRPr="00FF787D">
        <w:rPr>
          <w:rFonts w:ascii="Times New Roman" w:hAnsi="Times New Roman" w:cs="Times New Roman"/>
          <w:i/>
          <w:iCs/>
        </w:rPr>
        <w:t>Modifiche al Titolo V del D.M. 7 agosto 2025</w:t>
      </w:r>
      <w:r w:rsidRPr="00FF787D">
        <w:rPr>
          <w:rFonts w:ascii="Times New Roman" w:hAnsi="Times New Roman" w:cs="Times New Roman"/>
          <w:i/>
          <w:iCs/>
        </w:rPr>
        <w:t>)</w:t>
      </w:r>
      <w:r w:rsidR="00F1389E" w:rsidRPr="00FF787D">
        <w:rPr>
          <w:rFonts w:ascii="Times New Roman" w:hAnsi="Times New Roman" w:cs="Times New Roman"/>
          <w:i/>
          <w:iCs/>
        </w:rPr>
        <w:t xml:space="preserve"> </w:t>
      </w:r>
      <w:r w:rsidR="004A3BB0" w:rsidRPr="00FF787D">
        <w:rPr>
          <w:rFonts w:ascii="Times New Roman" w:hAnsi="Times New Roman" w:cs="Times New Roman"/>
        </w:rPr>
        <w:t>modifica la denominazione del Titolo V, rendendola più coerente con il contenuto delle disposizioni.</w:t>
      </w:r>
    </w:p>
    <w:p w14:paraId="5384F342" w14:textId="3766E923" w:rsidR="00546763" w:rsidRPr="00FF787D" w:rsidRDefault="00235856" w:rsidP="00ED5DB9">
      <w:pPr>
        <w:spacing w:before="240" w:after="0" w:line="240" w:lineRule="auto"/>
        <w:ind w:firstLine="709"/>
        <w:jc w:val="both"/>
        <w:rPr>
          <w:rFonts w:ascii="Times New Roman" w:hAnsi="Times New Roman" w:cs="Times New Roman"/>
          <w:i/>
          <w:iCs/>
        </w:rPr>
      </w:pPr>
      <w:r w:rsidRPr="00CA3022">
        <w:rPr>
          <w:rFonts w:ascii="Times New Roman" w:hAnsi="Times New Roman" w:cs="Times New Roman"/>
        </w:rPr>
        <w:t>L’</w:t>
      </w:r>
      <w:r w:rsidRPr="00CA3022">
        <w:rPr>
          <w:rFonts w:ascii="Times New Roman" w:hAnsi="Times New Roman" w:cs="Times New Roman"/>
          <w:b/>
          <w:bCs/>
        </w:rPr>
        <w:t>articolo 1</w:t>
      </w:r>
      <w:r w:rsidR="000E6643">
        <w:rPr>
          <w:rFonts w:ascii="Times New Roman" w:hAnsi="Times New Roman" w:cs="Times New Roman"/>
          <w:b/>
          <w:bCs/>
        </w:rPr>
        <w:t>2</w:t>
      </w:r>
      <w:r w:rsidRPr="00CA3022">
        <w:rPr>
          <w:rFonts w:ascii="Times New Roman" w:hAnsi="Times New Roman" w:cs="Times New Roman"/>
        </w:rPr>
        <w:t xml:space="preserve"> (</w:t>
      </w:r>
      <w:r w:rsidRPr="00CA3022">
        <w:rPr>
          <w:rFonts w:ascii="Times New Roman" w:hAnsi="Times New Roman" w:cs="Times New Roman"/>
          <w:i/>
          <w:iCs/>
        </w:rPr>
        <w:t>Modifiche all’articolo 24 “Ambito di applicazione ed esclusioni” del D.M. 7 agosto 2025)</w:t>
      </w:r>
      <w:r w:rsidR="00546763" w:rsidRPr="00CA3022">
        <w:rPr>
          <w:rFonts w:ascii="Times New Roman" w:hAnsi="Times New Roman" w:cs="Times New Roman"/>
          <w:i/>
          <w:iCs/>
        </w:rPr>
        <w:t xml:space="preserve"> </w:t>
      </w:r>
      <w:r w:rsidR="00546763" w:rsidRPr="00CA3022">
        <w:rPr>
          <w:rFonts w:ascii="Times New Roman" w:hAnsi="Times New Roman" w:cs="Times New Roman"/>
        </w:rPr>
        <w:t xml:space="preserve">introduce modifiche di </w:t>
      </w:r>
      <w:r w:rsidR="00546763" w:rsidRPr="00CA3022">
        <w:rPr>
          <w:rFonts w:ascii="Times New Roman" w:hAnsi="Times New Roman" w:cs="Times New Roman"/>
          <w:i/>
          <w:iCs/>
        </w:rPr>
        <w:t>drafting</w:t>
      </w:r>
      <w:r w:rsidR="00546763" w:rsidRPr="00CA3022">
        <w:rPr>
          <w:rFonts w:ascii="Times New Roman" w:hAnsi="Times New Roman" w:cs="Times New Roman"/>
        </w:rPr>
        <w:t xml:space="preserve"> volte a migliorare la chiarezza e la coerenza terminologica della disposizione</w:t>
      </w:r>
      <w:r w:rsidR="00546763" w:rsidRPr="00CA3022">
        <w:rPr>
          <w:rFonts w:ascii="Times New Roman" w:hAnsi="Times New Roman" w:cs="Times New Roman"/>
          <w:i/>
          <w:iCs/>
        </w:rPr>
        <w:t>.</w:t>
      </w:r>
    </w:p>
    <w:p w14:paraId="1805BA95" w14:textId="7130A117" w:rsidR="00235856" w:rsidRPr="00FF787D" w:rsidRDefault="00B97B66" w:rsidP="00ED5DB9">
      <w:pPr>
        <w:pStyle w:val="Normale2"/>
        <w:spacing w:before="240" w:after="0" w:line="240" w:lineRule="auto"/>
        <w:ind w:firstLine="709"/>
        <w:jc w:val="both"/>
        <w:rPr>
          <w:rFonts w:ascii="Times New Roman" w:hAnsi="Times New Roman"/>
          <w:color w:val="7030A0"/>
        </w:rPr>
      </w:pPr>
      <w:r w:rsidRPr="00B97B66">
        <w:rPr>
          <w:rFonts w:ascii="Times New Roman" w:hAnsi="Times New Roman"/>
        </w:rPr>
        <w:t>L’</w:t>
      </w:r>
      <w:r w:rsidRPr="00B97B66">
        <w:rPr>
          <w:rFonts w:ascii="Times New Roman" w:hAnsi="Times New Roman"/>
          <w:b/>
          <w:bCs/>
        </w:rPr>
        <w:t>articolo 1</w:t>
      </w:r>
      <w:r w:rsidR="000E6643">
        <w:rPr>
          <w:rFonts w:ascii="Times New Roman" w:hAnsi="Times New Roman"/>
          <w:b/>
          <w:bCs/>
        </w:rPr>
        <w:t>3</w:t>
      </w:r>
      <w:r w:rsidRPr="00B97B66">
        <w:rPr>
          <w:rFonts w:ascii="Times New Roman" w:hAnsi="Times New Roman"/>
        </w:rPr>
        <w:t xml:space="preserve"> (</w:t>
      </w:r>
      <w:r w:rsidRPr="00B97B66">
        <w:rPr>
          <w:rFonts w:ascii="Times New Roman" w:hAnsi="Times New Roman"/>
          <w:i/>
          <w:iCs/>
        </w:rPr>
        <w:t>Modifiche all’Allegato 1 “Criteri di ammissibilità degli interventi” del D.M. 7 agosto 2025)</w:t>
      </w:r>
      <w:r w:rsidRPr="00B97B66">
        <w:rPr>
          <w:rFonts w:ascii="Times New Roman" w:hAnsi="Times New Roman"/>
        </w:rPr>
        <w:t xml:space="preserve"> introduce modifiche ai criteri di ammissibilità degli interventi, coordinando la tabella 1 con l’esclusione della categoria catastale D/7, aggiornando i requisiti per i sistemi di schermatura e filtrazione solare, i valori del fattore solare totale e le relative norme tecniche di riferimento, riformulando i requisiti degli apparecchi di illuminazione e delle relative sorgenti luminose e aggiornando i criteri per gli impianti a biomassa.</w:t>
      </w:r>
    </w:p>
    <w:p w14:paraId="575C32D0" w14:textId="3F6F2A27" w:rsidR="00235856" w:rsidRPr="00FF787D" w:rsidRDefault="00915867" w:rsidP="00ED5DB9">
      <w:pPr>
        <w:spacing w:after="0" w:line="240" w:lineRule="auto"/>
        <w:ind w:firstLine="709"/>
        <w:jc w:val="both"/>
        <w:rPr>
          <w:rFonts w:ascii="Times New Roman" w:hAnsi="Times New Roman" w:cs="Times New Roman"/>
        </w:rPr>
      </w:pPr>
      <w:r w:rsidRPr="00FF787D">
        <w:rPr>
          <w:rFonts w:ascii="Times New Roman" w:hAnsi="Times New Roman" w:cs="Times New Roman"/>
        </w:rPr>
        <w:t xml:space="preserve">Le modifiche recepiscono contributi tecnici provenienti </w:t>
      </w:r>
      <w:r w:rsidR="00D967D1" w:rsidRPr="00FF787D">
        <w:rPr>
          <w:rFonts w:ascii="Times New Roman" w:hAnsi="Times New Roman" w:cs="Times New Roman"/>
        </w:rPr>
        <w:t>dalle</w:t>
      </w:r>
      <w:r w:rsidRPr="00FF787D">
        <w:rPr>
          <w:rFonts w:ascii="Times New Roman" w:hAnsi="Times New Roman" w:cs="Times New Roman"/>
        </w:rPr>
        <w:t xml:space="preserve"> associazioni di settore, al fine di migliorare l’efficacia delle disposizioni.</w:t>
      </w:r>
    </w:p>
    <w:p w14:paraId="5947C8FA" w14:textId="1DDFBA90" w:rsidR="00235856" w:rsidRPr="000E6643" w:rsidRDefault="00DF0514" w:rsidP="00ED5DB9">
      <w:pPr>
        <w:pStyle w:val="Normale2"/>
        <w:spacing w:before="240" w:after="0" w:line="240" w:lineRule="auto"/>
        <w:ind w:firstLine="709"/>
        <w:jc w:val="both"/>
        <w:rPr>
          <w:rFonts w:ascii="Times New Roman" w:hAnsi="Times New Roman"/>
          <w:color w:val="7030A0"/>
        </w:rPr>
      </w:pPr>
      <w:r w:rsidRPr="000D00F1">
        <w:rPr>
          <w:rFonts w:ascii="Times New Roman" w:hAnsi="Times New Roman"/>
        </w:rPr>
        <w:t>L’</w:t>
      </w:r>
      <w:r w:rsidRPr="000D00F1">
        <w:rPr>
          <w:rFonts w:ascii="Times New Roman" w:hAnsi="Times New Roman"/>
          <w:b/>
        </w:rPr>
        <w:t>articolo 1</w:t>
      </w:r>
      <w:r w:rsidR="000E6643">
        <w:rPr>
          <w:rFonts w:ascii="Times New Roman" w:hAnsi="Times New Roman"/>
          <w:b/>
        </w:rPr>
        <w:t>4</w:t>
      </w:r>
      <w:r w:rsidRPr="000D00F1">
        <w:rPr>
          <w:rFonts w:ascii="Times New Roman" w:hAnsi="Times New Roman"/>
        </w:rPr>
        <w:t xml:space="preserve"> (</w:t>
      </w:r>
      <w:r w:rsidRPr="000D00F1">
        <w:rPr>
          <w:rFonts w:ascii="Times New Roman" w:hAnsi="Times New Roman"/>
          <w:i/>
        </w:rPr>
        <w:t>Modifiche all’Allegato 2 “Metodologia di calcolo degli incentivi” del D.M. 7 agosto 2025)</w:t>
      </w:r>
      <w:r w:rsidRPr="000D00F1">
        <w:rPr>
          <w:rFonts w:ascii="Times New Roman" w:hAnsi="Times New Roman"/>
        </w:rPr>
        <w:t xml:space="preserve"> reca correzioni e aggiornamenti della metodologia di calcolo degli incentivi</w:t>
      </w:r>
      <w:r w:rsidR="000D00F1" w:rsidRPr="000D00F1">
        <w:rPr>
          <w:rFonts w:ascii="Times New Roman" w:hAnsi="Times New Roman"/>
        </w:rPr>
        <w:t xml:space="preserve">, ridefinendo i coefficienti legati alla riduzione delle emissioni di particolato primario e introducendo criteri più chiari per il </w:t>
      </w:r>
      <w:r w:rsidR="000D00F1" w:rsidRPr="000E6643">
        <w:rPr>
          <w:rFonts w:ascii="Times New Roman" w:hAnsi="Times New Roman"/>
        </w:rPr>
        <w:t>calcolo dei valori percentuali, al fine di garantire maggiore coerenza tra incentivazione e prestazioni ambientali</w:t>
      </w:r>
      <w:r w:rsidR="00B874A6">
        <w:rPr>
          <w:rFonts w:ascii="Times New Roman" w:hAnsi="Times New Roman"/>
        </w:rPr>
        <w:t>, in linea con la disciplina del decreto legislativo del</w:t>
      </w:r>
      <w:r w:rsidR="00B874A6" w:rsidRPr="00B874A6">
        <w:rPr>
          <w:rFonts w:ascii="Times New Roman" w:hAnsi="Times New Roman"/>
        </w:rPr>
        <w:t xml:space="preserve"> 9 gennaio 2026, n. 5 (pubblicato in Gazzetta Ufficiale n. 15 del 20 gennaio 2026 ed in vigore dal 4 febbraio 2026) </w:t>
      </w:r>
      <w:r w:rsidR="00B874A6">
        <w:rPr>
          <w:rFonts w:ascii="Times New Roman" w:hAnsi="Times New Roman"/>
        </w:rPr>
        <w:t xml:space="preserve">che ha </w:t>
      </w:r>
      <w:r w:rsidR="00B874A6" w:rsidRPr="00B874A6">
        <w:rPr>
          <w:rFonts w:ascii="Times New Roman" w:hAnsi="Times New Roman"/>
        </w:rPr>
        <w:t>recepi</w:t>
      </w:r>
      <w:r w:rsidR="00B874A6">
        <w:rPr>
          <w:rFonts w:ascii="Times New Roman" w:hAnsi="Times New Roman"/>
        </w:rPr>
        <w:t>to</w:t>
      </w:r>
      <w:r w:rsidR="00B874A6" w:rsidRPr="00B874A6">
        <w:rPr>
          <w:rFonts w:ascii="Times New Roman" w:hAnsi="Times New Roman"/>
        </w:rPr>
        <w:t xml:space="preserve"> in Italia la direttiva europea RED III (UE 2023/2413)</w:t>
      </w:r>
      <w:r w:rsidR="00B874A6">
        <w:rPr>
          <w:rFonts w:ascii="Times New Roman" w:hAnsi="Times New Roman"/>
        </w:rPr>
        <w:t>.</w:t>
      </w:r>
    </w:p>
    <w:p w14:paraId="6E3FEAA3" w14:textId="5364D271" w:rsidR="000E6643" w:rsidRPr="000E6643" w:rsidRDefault="00235856" w:rsidP="00ED5DB9">
      <w:pPr>
        <w:spacing w:before="240" w:after="0" w:line="240" w:lineRule="auto"/>
        <w:ind w:firstLine="709"/>
        <w:jc w:val="both"/>
        <w:rPr>
          <w:rFonts w:ascii="Times New Roman" w:eastAsia="Times New Roman" w:hAnsi="Times New Roman" w:cs="Times New Roman"/>
          <w:kern w:val="0"/>
          <w:lang w:eastAsia="it-IT"/>
          <w14:ligatures w14:val="none"/>
        </w:rPr>
      </w:pPr>
      <w:r w:rsidRPr="000E6643">
        <w:rPr>
          <w:rFonts w:ascii="Times New Roman" w:hAnsi="Times New Roman" w:cs="Times New Roman"/>
        </w:rPr>
        <w:t>L’</w:t>
      </w:r>
      <w:r w:rsidRPr="000E6643">
        <w:rPr>
          <w:rFonts w:ascii="Times New Roman" w:hAnsi="Times New Roman" w:cs="Times New Roman"/>
          <w:b/>
          <w:bCs/>
        </w:rPr>
        <w:t>articolo 1</w:t>
      </w:r>
      <w:r w:rsidR="000E6643" w:rsidRPr="000E6643">
        <w:rPr>
          <w:rFonts w:ascii="Times New Roman" w:hAnsi="Times New Roman" w:cs="Times New Roman"/>
          <w:b/>
          <w:bCs/>
        </w:rPr>
        <w:t>5</w:t>
      </w:r>
      <w:r w:rsidRPr="000E6643">
        <w:rPr>
          <w:rFonts w:ascii="Times New Roman" w:hAnsi="Times New Roman" w:cs="Times New Roman"/>
        </w:rPr>
        <w:t xml:space="preserve"> (</w:t>
      </w:r>
      <w:r w:rsidRPr="000E6643">
        <w:rPr>
          <w:rFonts w:ascii="Times New Roman" w:hAnsi="Times New Roman" w:cs="Times New Roman"/>
          <w:i/>
          <w:iCs/>
        </w:rPr>
        <w:t>Disposizioni transitorie per le amministrazioni pubbliche e per le imprese)</w:t>
      </w:r>
      <w:r w:rsidR="009328E2" w:rsidRPr="000E6643">
        <w:rPr>
          <w:rFonts w:ascii="Times New Roman" w:eastAsia="Times New Roman" w:hAnsi="Times New Roman" w:cs="Times New Roman"/>
          <w:kern w:val="0"/>
          <w:lang w:eastAsia="it-IT"/>
          <w14:ligatures w14:val="none"/>
        </w:rPr>
        <w:t xml:space="preserve"> </w:t>
      </w:r>
      <w:r w:rsidR="000E6643" w:rsidRPr="000E6643">
        <w:rPr>
          <w:rFonts w:ascii="Times New Roman" w:hAnsi="Times New Roman" w:cs="Times New Roman"/>
        </w:rPr>
        <w:t>disciplina il regime transitorio applicabile alle amministrazioni pubbliche che svolgono attività economica, alle imprese e ai comuni con popolazione fino a 15.000 abitanti.</w:t>
      </w:r>
    </w:p>
    <w:p w14:paraId="2519586B" w14:textId="77777777" w:rsidR="000E6643" w:rsidRPr="000E6643" w:rsidRDefault="000E6643" w:rsidP="00ED5DB9">
      <w:pPr>
        <w:spacing w:after="0" w:line="240" w:lineRule="auto"/>
        <w:ind w:firstLine="709"/>
        <w:jc w:val="both"/>
        <w:rPr>
          <w:rFonts w:ascii="Times New Roman" w:hAnsi="Times New Roman" w:cs="Times New Roman"/>
        </w:rPr>
      </w:pPr>
      <w:r w:rsidRPr="000E6643">
        <w:rPr>
          <w:rFonts w:ascii="Times New Roman" w:hAnsi="Times New Roman" w:cs="Times New Roman"/>
        </w:rPr>
        <w:t>In particolare, per le amministrazioni pubbliche che svolgono attività economica, la disposizione subordina, decorso il termine di quarantacinque giorni dall’entrata in vigore del decreto, l’accesso agli incentivi al rispetto delle condizioni e dei requisiti previsti dal Titolo V del decreto ministeriale 7 agosto 2025. Per gli interventi già avviati, la richiesta preliminare deve essere presentata entro il medesimo termine, a pena di inammissibilità.</w:t>
      </w:r>
    </w:p>
    <w:p w14:paraId="5861B53F" w14:textId="77777777" w:rsidR="000E6643" w:rsidRPr="000E6643" w:rsidRDefault="000E6643" w:rsidP="00ED5DB9">
      <w:pPr>
        <w:spacing w:after="0" w:line="240" w:lineRule="auto"/>
        <w:ind w:firstLine="709"/>
        <w:jc w:val="both"/>
        <w:rPr>
          <w:rFonts w:ascii="Times New Roman" w:hAnsi="Times New Roman" w:cs="Times New Roman"/>
        </w:rPr>
      </w:pPr>
      <w:r w:rsidRPr="000E6643">
        <w:rPr>
          <w:rFonts w:ascii="Times New Roman" w:hAnsi="Times New Roman" w:cs="Times New Roman"/>
        </w:rPr>
        <w:t>Per le imprese, è consentita la presentazione della richiesta preliminare successivamente all’avvio dei lavori per gli interventi avviati prima della pubblicazione del decreto ministeriale 7 agosto 2025 e non ancora conclusi alla data della sua entrata in vigore, secondo i termini e le modalità stabiliti dal GSE.</w:t>
      </w:r>
    </w:p>
    <w:p w14:paraId="1BA09597" w14:textId="37730A74" w:rsidR="000E6643" w:rsidRDefault="000E6643" w:rsidP="00ED5DB9">
      <w:pPr>
        <w:spacing w:after="0" w:line="240" w:lineRule="auto"/>
        <w:ind w:firstLine="709"/>
        <w:jc w:val="both"/>
        <w:rPr>
          <w:rFonts w:ascii="Times New Roman" w:hAnsi="Times New Roman" w:cs="Times New Roman"/>
        </w:rPr>
      </w:pPr>
      <w:r w:rsidRPr="000E6643">
        <w:rPr>
          <w:rFonts w:ascii="Times New Roman" w:hAnsi="Times New Roman" w:cs="Times New Roman"/>
        </w:rPr>
        <w:t>È infine salvaguardata l’applicazione dell’incentivo nella misura del 100 per cento delle spese ammissibili alle richieste presentate dai comuni con popolazione fino a 15.000 abitanti, anche mediante prenotazione, prima dell’entrata in vigore del presente decreto.</w:t>
      </w:r>
    </w:p>
    <w:p w14:paraId="5B03CCC7" w14:textId="77777777" w:rsidR="00287A14" w:rsidRPr="00FF787D" w:rsidRDefault="00287A14" w:rsidP="00ED5DB9">
      <w:pPr>
        <w:spacing w:after="0" w:line="240" w:lineRule="auto"/>
        <w:ind w:firstLine="709"/>
        <w:jc w:val="both"/>
        <w:rPr>
          <w:rFonts w:ascii="Times New Roman" w:hAnsi="Times New Roman" w:cs="Times New Roman"/>
        </w:rPr>
      </w:pPr>
    </w:p>
    <w:p w14:paraId="44853CAC" w14:textId="7AAD0E36" w:rsidR="00235856" w:rsidRDefault="00287A14" w:rsidP="00ED5DB9">
      <w:pPr>
        <w:spacing w:line="240" w:lineRule="auto"/>
        <w:ind w:firstLine="709"/>
        <w:jc w:val="both"/>
        <w:rPr>
          <w:rFonts w:ascii="Times New Roman" w:hAnsi="Times New Roman" w:cs="Times New Roman"/>
        </w:rPr>
      </w:pPr>
      <w:r w:rsidRPr="00FF787D">
        <w:rPr>
          <w:rFonts w:ascii="Times New Roman" w:hAnsi="Times New Roman" w:cs="Times New Roman"/>
        </w:rPr>
        <w:t>L’</w:t>
      </w:r>
      <w:r w:rsidRPr="00FF787D">
        <w:rPr>
          <w:rFonts w:ascii="Times New Roman" w:hAnsi="Times New Roman" w:cs="Times New Roman"/>
          <w:b/>
          <w:bCs/>
        </w:rPr>
        <w:t>articolo 1</w:t>
      </w:r>
      <w:r w:rsidR="000E6643">
        <w:rPr>
          <w:rFonts w:ascii="Times New Roman" w:hAnsi="Times New Roman" w:cs="Times New Roman"/>
          <w:b/>
          <w:bCs/>
        </w:rPr>
        <w:t>6</w:t>
      </w:r>
      <w:r w:rsidRPr="00FF787D">
        <w:rPr>
          <w:rFonts w:ascii="Times New Roman" w:hAnsi="Times New Roman" w:cs="Times New Roman"/>
        </w:rPr>
        <w:t xml:space="preserve"> (</w:t>
      </w:r>
      <w:r>
        <w:rPr>
          <w:rFonts w:ascii="Times New Roman" w:hAnsi="Times New Roman" w:cs="Times New Roman"/>
          <w:i/>
          <w:iCs/>
        </w:rPr>
        <w:t xml:space="preserve">Entrata </w:t>
      </w:r>
      <w:r w:rsidRPr="000D00F1">
        <w:rPr>
          <w:rFonts w:ascii="Times New Roman" w:hAnsi="Times New Roman" w:cs="Times New Roman"/>
          <w:i/>
          <w:iCs/>
        </w:rPr>
        <w:t>in vigore)</w:t>
      </w:r>
      <w:r w:rsidRPr="000D00F1">
        <w:rPr>
          <w:rFonts w:ascii="Times New Roman" w:eastAsia="Times New Roman" w:hAnsi="Times New Roman" w:cs="Times New Roman"/>
          <w:kern w:val="0"/>
          <w:lang w:eastAsia="it-IT"/>
          <w14:ligatures w14:val="none"/>
        </w:rPr>
        <w:t xml:space="preserve"> </w:t>
      </w:r>
      <w:r w:rsidR="00445E46" w:rsidRPr="000D00F1">
        <w:rPr>
          <w:rFonts w:ascii="Times New Roman" w:hAnsi="Times New Roman" w:cs="Times New Roman"/>
        </w:rPr>
        <w:t>stabilisce che il decreto entra in vigore il giorno della pubblicazione nella Gazzetta Ufficiale della Repubblica italiana e ne prevede la trasmissione ai competenti organi di controllo.</w:t>
      </w:r>
    </w:p>
    <w:p w14:paraId="217D8200" w14:textId="314D2DA7" w:rsidR="00445E46" w:rsidRPr="00445E46" w:rsidRDefault="00445E46" w:rsidP="00ED5DB9">
      <w:pPr>
        <w:spacing w:line="240" w:lineRule="auto"/>
        <w:ind w:firstLine="709"/>
        <w:jc w:val="both"/>
        <w:rPr>
          <w:rFonts w:ascii="Times New Roman" w:hAnsi="Times New Roman" w:cs="Times New Roman"/>
          <w:b/>
          <w:bCs/>
        </w:rPr>
      </w:pPr>
      <w:r w:rsidRPr="00445E46">
        <w:rPr>
          <w:rFonts w:ascii="Times New Roman" w:hAnsi="Times New Roman" w:cs="Times New Roman"/>
          <w:b/>
          <w:bCs/>
        </w:rPr>
        <w:t xml:space="preserve">3. Invarianza finanziaria e attuazione </w:t>
      </w:r>
    </w:p>
    <w:p w14:paraId="087D79A1" w14:textId="1B9A2187" w:rsidR="00235856" w:rsidRPr="00FF787D" w:rsidRDefault="00445E46" w:rsidP="00ED5DB9">
      <w:pPr>
        <w:spacing w:line="240" w:lineRule="auto"/>
        <w:ind w:firstLine="709"/>
        <w:jc w:val="both"/>
        <w:rPr>
          <w:rFonts w:ascii="Times New Roman" w:hAnsi="Times New Roman" w:cs="Times New Roman"/>
          <w:color w:val="7030A0"/>
        </w:rPr>
      </w:pPr>
      <w:r w:rsidRPr="00445E46">
        <w:rPr>
          <w:rFonts w:ascii="Times New Roman" w:hAnsi="Times New Roman" w:cs="Times New Roman"/>
        </w:rPr>
        <w:t xml:space="preserve">Le modifiche operano nell’ambito del limite massimo dell’impegno di spesa annua cumulata già previsto dalla normativa vigente e disciplinano la ripartizione e la gestione delle risorse senza incrementare il limite complessivo di 900 milioni di euro. Gli adempimenti di monitoraggio, </w:t>
      </w:r>
      <w:r w:rsidRPr="00445E46">
        <w:rPr>
          <w:rFonts w:ascii="Times New Roman" w:hAnsi="Times New Roman" w:cs="Times New Roman"/>
        </w:rPr>
        <w:lastRenderedPageBreak/>
        <w:t>aggiornamento dei contatori e adeguamento delle regole applicative sono svolti dal GSE nell’ambito delle funzioni attribuitegli dal decreto 7 agosto 2025.</w:t>
      </w:r>
    </w:p>
    <w:sectPr w:rsidR="00235856" w:rsidRPr="00FF787D">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F2AD1" w14:textId="77777777" w:rsidR="00CB6E42" w:rsidRDefault="00CB6E42" w:rsidP="00575DAB">
      <w:pPr>
        <w:spacing w:after="0" w:line="240" w:lineRule="auto"/>
      </w:pPr>
      <w:r>
        <w:separator/>
      </w:r>
    </w:p>
  </w:endnote>
  <w:endnote w:type="continuationSeparator" w:id="0">
    <w:p w14:paraId="0E5C509A" w14:textId="77777777" w:rsidR="00CB6E42" w:rsidRDefault="00CB6E42" w:rsidP="00575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A9800" w14:textId="77777777" w:rsidR="005F0F37" w:rsidRDefault="005F0F3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050756"/>
      <w:docPartObj>
        <w:docPartGallery w:val="Page Numbers (Bottom of Page)"/>
        <w:docPartUnique/>
      </w:docPartObj>
    </w:sdtPr>
    <w:sdtEndPr>
      <w:rPr>
        <w:rFonts w:ascii="Times New Roman" w:hAnsi="Times New Roman" w:cs="Times New Roman"/>
        <w:sz w:val="20"/>
        <w:szCs w:val="20"/>
      </w:rPr>
    </w:sdtEndPr>
    <w:sdtContent>
      <w:p w14:paraId="67FCDC19" w14:textId="4D1DE241" w:rsidR="00BB4289" w:rsidRPr="00BB4289" w:rsidRDefault="00BB4289">
        <w:pPr>
          <w:pStyle w:val="Pidipagina"/>
          <w:jc w:val="right"/>
          <w:rPr>
            <w:rFonts w:ascii="Times New Roman" w:hAnsi="Times New Roman" w:cs="Times New Roman"/>
            <w:sz w:val="20"/>
            <w:szCs w:val="20"/>
          </w:rPr>
        </w:pPr>
        <w:r w:rsidRPr="00BB4289">
          <w:rPr>
            <w:rFonts w:ascii="Times New Roman" w:hAnsi="Times New Roman" w:cs="Times New Roman"/>
            <w:sz w:val="20"/>
            <w:szCs w:val="20"/>
          </w:rPr>
          <w:fldChar w:fldCharType="begin"/>
        </w:r>
        <w:r w:rsidRPr="00BB4289">
          <w:rPr>
            <w:rFonts w:ascii="Times New Roman" w:hAnsi="Times New Roman" w:cs="Times New Roman"/>
            <w:sz w:val="20"/>
            <w:szCs w:val="20"/>
          </w:rPr>
          <w:instrText>PAGE   \* MERGEFORMAT</w:instrText>
        </w:r>
        <w:r w:rsidRPr="00BB4289">
          <w:rPr>
            <w:rFonts w:ascii="Times New Roman" w:hAnsi="Times New Roman" w:cs="Times New Roman"/>
            <w:sz w:val="20"/>
            <w:szCs w:val="20"/>
          </w:rPr>
          <w:fldChar w:fldCharType="separate"/>
        </w:r>
        <w:r w:rsidRPr="00BB4289">
          <w:rPr>
            <w:rFonts w:ascii="Times New Roman" w:hAnsi="Times New Roman" w:cs="Times New Roman"/>
            <w:sz w:val="20"/>
            <w:szCs w:val="20"/>
          </w:rPr>
          <w:t>2</w:t>
        </w:r>
        <w:r w:rsidRPr="00BB4289">
          <w:rPr>
            <w:rFonts w:ascii="Times New Roman" w:hAnsi="Times New Roman" w:cs="Times New Roman"/>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90C2" w14:textId="77777777" w:rsidR="005F0F37" w:rsidRDefault="005F0F3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6FC56" w14:textId="77777777" w:rsidR="00CB6E42" w:rsidRDefault="00CB6E42" w:rsidP="00575DAB">
      <w:pPr>
        <w:spacing w:after="0" w:line="240" w:lineRule="auto"/>
      </w:pPr>
      <w:r>
        <w:separator/>
      </w:r>
    </w:p>
  </w:footnote>
  <w:footnote w:type="continuationSeparator" w:id="0">
    <w:p w14:paraId="0846BD7C" w14:textId="77777777" w:rsidR="00CB6E42" w:rsidRDefault="00CB6E42" w:rsidP="00575D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3E31E" w14:textId="77777777" w:rsidR="005F0F37" w:rsidRDefault="005F0F3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E10C1" w14:textId="77777777" w:rsidR="005F0F37" w:rsidRDefault="005F0F3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9A8FF" w14:textId="77777777" w:rsidR="005F0F37" w:rsidRDefault="005F0F3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7EC2"/>
    <w:multiLevelType w:val="hybridMultilevel"/>
    <w:tmpl w:val="5DCA6884"/>
    <w:lvl w:ilvl="0" w:tplc="127203DA">
      <w:start w:val="1"/>
      <w:numFmt w:val="decimal"/>
      <w:lvlText w:val="%1."/>
      <w:lvlJc w:val="left"/>
      <w:pPr>
        <w:ind w:left="720" w:hanging="360"/>
      </w:pPr>
      <w:rPr>
        <w:rFonts w:hint="default"/>
        <w:strike w:val="0"/>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7323C5"/>
    <w:multiLevelType w:val="multilevel"/>
    <w:tmpl w:val="02747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23193"/>
    <w:multiLevelType w:val="multilevel"/>
    <w:tmpl w:val="3A2E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60423"/>
    <w:multiLevelType w:val="hybridMultilevel"/>
    <w:tmpl w:val="9DFC682E"/>
    <w:lvl w:ilvl="0" w:tplc="40A4670A">
      <w:start w:val="1"/>
      <w:numFmt w:val="lowerLetter"/>
      <w:pStyle w:val="Puntatolettere"/>
      <w:suff w:val="space"/>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7D6972"/>
    <w:multiLevelType w:val="multilevel"/>
    <w:tmpl w:val="F9945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9473BE"/>
    <w:multiLevelType w:val="hybridMultilevel"/>
    <w:tmpl w:val="22CAFE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AF84730"/>
    <w:multiLevelType w:val="hybridMultilevel"/>
    <w:tmpl w:val="83DCF8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D3A743A"/>
    <w:multiLevelType w:val="multilevel"/>
    <w:tmpl w:val="58E0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C907C1"/>
    <w:multiLevelType w:val="hybridMultilevel"/>
    <w:tmpl w:val="45FE73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BFF1D89"/>
    <w:multiLevelType w:val="hybridMultilevel"/>
    <w:tmpl w:val="08A6194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26083A"/>
    <w:multiLevelType w:val="hybridMultilevel"/>
    <w:tmpl w:val="681EA076"/>
    <w:lvl w:ilvl="0" w:tplc="0410000F">
      <w:start w:val="1"/>
      <w:numFmt w:val="decimal"/>
      <w:lvlText w:val="%1."/>
      <w:lvlJc w:val="left"/>
      <w:pPr>
        <w:ind w:left="720" w:hanging="360"/>
      </w:pPr>
      <w:rPr>
        <w:rFonts w:hint="default"/>
      </w:rPr>
    </w:lvl>
    <w:lvl w:ilvl="1" w:tplc="DE806792">
      <w:start w:val="1"/>
      <w:numFmt w:val="lowerLetter"/>
      <w:lvlText w:val="%2)"/>
      <w:lvlJc w:val="left"/>
      <w:pPr>
        <w:ind w:left="1440" w:hanging="360"/>
      </w:pPr>
      <w:rPr>
        <w:rFonts w:hint="default"/>
      </w:rPr>
    </w:lvl>
    <w:lvl w:ilvl="2" w:tplc="3A96DE82">
      <w:start w:val="1"/>
      <w:numFmt w:val="lowerRoman"/>
      <w:lvlText w:val="%3."/>
      <w:lvlJc w:val="left"/>
      <w:pPr>
        <w:ind w:left="2700" w:hanging="72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5C634AE"/>
    <w:multiLevelType w:val="hybridMultilevel"/>
    <w:tmpl w:val="08A6194A"/>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6A4773B"/>
    <w:multiLevelType w:val="hybridMultilevel"/>
    <w:tmpl w:val="EEA4AFC0"/>
    <w:lvl w:ilvl="0" w:tplc="28A48DA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76E4670"/>
    <w:multiLevelType w:val="hybridMultilevel"/>
    <w:tmpl w:val="3A86AC6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C8633B"/>
    <w:multiLevelType w:val="hybridMultilevel"/>
    <w:tmpl w:val="AD540A24"/>
    <w:lvl w:ilvl="0" w:tplc="04100001">
      <w:start w:val="1"/>
      <w:numFmt w:val="bullet"/>
      <w:lvlText w:val=""/>
      <w:lvlJc w:val="left"/>
      <w:pPr>
        <w:ind w:left="1287" w:hanging="360"/>
      </w:pPr>
      <w:rPr>
        <w:rFonts w:ascii="Symbol" w:hAnsi="Symbol" w:hint="default"/>
        <w:color w:val="auto"/>
        <w:sz w:val="22"/>
        <w:szCs w:val="22"/>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start w:val="1"/>
      <w:numFmt w:val="bullet"/>
      <w:lvlText w:val="o"/>
      <w:lvlJc w:val="left"/>
      <w:pPr>
        <w:ind w:left="4167" w:hanging="360"/>
      </w:pPr>
      <w:rPr>
        <w:rFonts w:ascii="Courier New" w:hAnsi="Courier New" w:cs="Courier New" w:hint="default"/>
      </w:rPr>
    </w:lvl>
    <w:lvl w:ilvl="5" w:tplc="04100005">
      <w:start w:val="1"/>
      <w:numFmt w:val="bullet"/>
      <w:lvlText w:val=""/>
      <w:lvlJc w:val="left"/>
      <w:pPr>
        <w:ind w:left="4887" w:hanging="360"/>
      </w:pPr>
      <w:rPr>
        <w:rFonts w:ascii="Wingdings" w:hAnsi="Wingdings" w:hint="default"/>
      </w:rPr>
    </w:lvl>
    <w:lvl w:ilvl="6" w:tplc="04100001">
      <w:start w:val="1"/>
      <w:numFmt w:val="bullet"/>
      <w:lvlText w:val=""/>
      <w:lvlJc w:val="left"/>
      <w:pPr>
        <w:ind w:left="5607" w:hanging="360"/>
      </w:pPr>
      <w:rPr>
        <w:rFonts w:ascii="Symbol" w:hAnsi="Symbol" w:hint="default"/>
      </w:rPr>
    </w:lvl>
    <w:lvl w:ilvl="7" w:tplc="04100003">
      <w:start w:val="1"/>
      <w:numFmt w:val="bullet"/>
      <w:lvlText w:val="o"/>
      <w:lvlJc w:val="left"/>
      <w:pPr>
        <w:ind w:left="6327" w:hanging="360"/>
      </w:pPr>
      <w:rPr>
        <w:rFonts w:ascii="Courier New" w:hAnsi="Courier New" w:cs="Courier New" w:hint="default"/>
      </w:rPr>
    </w:lvl>
    <w:lvl w:ilvl="8" w:tplc="04100005">
      <w:start w:val="1"/>
      <w:numFmt w:val="bullet"/>
      <w:lvlText w:val=""/>
      <w:lvlJc w:val="left"/>
      <w:pPr>
        <w:ind w:left="7047" w:hanging="360"/>
      </w:pPr>
      <w:rPr>
        <w:rFonts w:ascii="Wingdings" w:hAnsi="Wingdings" w:hint="default"/>
      </w:rPr>
    </w:lvl>
  </w:abstractNum>
  <w:abstractNum w:abstractNumId="15" w15:restartNumberingAfterBreak="0">
    <w:nsid w:val="3C28780B"/>
    <w:multiLevelType w:val="hybridMultilevel"/>
    <w:tmpl w:val="B14E8C64"/>
    <w:lvl w:ilvl="0" w:tplc="19900C52">
      <w:start w:val="1"/>
      <w:numFmt w:val="decimal"/>
      <w:suff w:val="space"/>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C442C41"/>
    <w:multiLevelType w:val="hybridMultilevel"/>
    <w:tmpl w:val="7F568D96"/>
    <w:lvl w:ilvl="0" w:tplc="0410001B">
      <w:start w:val="1"/>
      <w:numFmt w:val="lowerRoman"/>
      <w:lvlText w:val="%1."/>
      <w:lvlJc w:val="right"/>
      <w:pPr>
        <w:ind w:left="360" w:hanging="360"/>
      </w:pPr>
      <w:rPr>
        <w:color w:val="auto"/>
      </w:rPr>
    </w:lvl>
    <w:lvl w:ilvl="1" w:tplc="77CEB6C0">
      <w:start w:val="1"/>
      <w:numFmt w:val="lowerLetter"/>
      <w:lvlText w:val="%2)"/>
      <w:lvlJc w:val="left"/>
      <w:pPr>
        <w:ind w:left="1080" w:hanging="360"/>
      </w:pPr>
    </w:lvl>
    <w:lvl w:ilvl="2" w:tplc="3FEEE3CE">
      <w:start w:val="1"/>
      <w:numFmt w:val="decimal"/>
      <w:lvlText w:val="%3."/>
      <w:lvlJc w:val="left"/>
      <w:pPr>
        <w:ind w:left="360" w:hanging="360"/>
      </w:pPr>
      <w:rPr>
        <w:i w:val="0"/>
        <w:iCs w:val="0"/>
      </w:r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7" w15:restartNumberingAfterBreak="0">
    <w:nsid w:val="42E2136A"/>
    <w:multiLevelType w:val="hybridMultilevel"/>
    <w:tmpl w:val="DFEE523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3AE2AA5"/>
    <w:multiLevelType w:val="hybridMultilevel"/>
    <w:tmpl w:val="579EE064"/>
    <w:lvl w:ilvl="0" w:tplc="EDA21FE6">
      <w:start w:val="1"/>
      <w:numFmt w:val="bullet"/>
      <w:lvlText w:val=""/>
      <w:lvlJc w:val="left"/>
      <w:pPr>
        <w:ind w:left="720" w:hanging="360"/>
      </w:pPr>
      <w:rPr>
        <w:rFonts w:ascii="Symbol" w:hAnsi="Symbol" w:hint="default"/>
        <w:u w:color="0070C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7DE55C7"/>
    <w:multiLevelType w:val="hybridMultilevel"/>
    <w:tmpl w:val="E882425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E865F3"/>
    <w:multiLevelType w:val="hybridMultilevel"/>
    <w:tmpl w:val="8FCE35FC"/>
    <w:lvl w:ilvl="0" w:tplc="7196E5C0">
      <w:numFmt w:val="bullet"/>
      <w:lvlText w:val="-"/>
      <w:lvlJc w:val="left"/>
      <w:pPr>
        <w:ind w:left="1494" w:hanging="360"/>
      </w:pPr>
      <w:rPr>
        <w:rFonts w:ascii="Calibri" w:eastAsiaTheme="minorHAnsi" w:hAnsi="Calibri" w:cs="Calibri"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1" w15:restartNumberingAfterBreak="0">
    <w:nsid w:val="482573AB"/>
    <w:multiLevelType w:val="hybridMultilevel"/>
    <w:tmpl w:val="27CAC2D8"/>
    <w:lvl w:ilvl="0" w:tplc="181ADC40">
      <w:start w:val="1"/>
      <w:numFmt w:val="lowerLetter"/>
      <w:lvlText w:val="%1)"/>
      <w:lvlJc w:val="left"/>
      <w:pPr>
        <w:ind w:left="1429" w:hanging="72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2" w15:restartNumberingAfterBreak="0">
    <w:nsid w:val="58910432"/>
    <w:multiLevelType w:val="multilevel"/>
    <w:tmpl w:val="6868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C91850"/>
    <w:multiLevelType w:val="hybridMultilevel"/>
    <w:tmpl w:val="BF085012"/>
    <w:lvl w:ilvl="0" w:tplc="EA681E2E">
      <w:start w:val="1"/>
      <w:numFmt w:val="bullet"/>
      <w:suff w:val="space"/>
      <w:lvlText w:val=""/>
      <w:lvlJc w:val="left"/>
      <w:pPr>
        <w:ind w:left="357" w:firstLine="3"/>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E454EF6"/>
    <w:multiLevelType w:val="hybridMultilevel"/>
    <w:tmpl w:val="E692037E"/>
    <w:lvl w:ilvl="0" w:tplc="EDA21FE6">
      <w:start w:val="1"/>
      <w:numFmt w:val="bullet"/>
      <w:lvlText w:val=""/>
      <w:lvlJc w:val="left"/>
      <w:pPr>
        <w:ind w:left="1429" w:hanging="360"/>
      </w:pPr>
      <w:rPr>
        <w:rFonts w:ascii="Symbol" w:hAnsi="Symbol" w:hint="default"/>
        <w:u w:color="0070C0"/>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15:restartNumberingAfterBreak="0">
    <w:nsid w:val="6B4325FF"/>
    <w:multiLevelType w:val="multilevel"/>
    <w:tmpl w:val="DCF89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FF1D57"/>
    <w:multiLevelType w:val="hybridMultilevel"/>
    <w:tmpl w:val="E2905132"/>
    <w:lvl w:ilvl="0" w:tplc="28A48DA8">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CAB0E92"/>
    <w:multiLevelType w:val="hybridMultilevel"/>
    <w:tmpl w:val="31E805AC"/>
    <w:lvl w:ilvl="0" w:tplc="EDA21FE6">
      <w:start w:val="1"/>
      <w:numFmt w:val="bullet"/>
      <w:lvlText w:val=""/>
      <w:lvlJc w:val="left"/>
      <w:pPr>
        <w:ind w:left="1429" w:hanging="360"/>
      </w:pPr>
      <w:rPr>
        <w:rFonts w:ascii="Symbol" w:hAnsi="Symbol" w:hint="default"/>
        <w:u w:color="0070C0"/>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num w:numId="1" w16cid:durableId="591745850">
    <w:abstractNumId w:val="15"/>
  </w:num>
  <w:num w:numId="2" w16cid:durableId="363097001">
    <w:abstractNumId w:val="3"/>
  </w:num>
  <w:num w:numId="3" w16cid:durableId="1361854180">
    <w:abstractNumId w:val="26"/>
  </w:num>
  <w:num w:numId="4" w16cid:durableId="1109666976">
    <w:abstractNumId w:val="12"/>
  </w:num>
  <w:num w:numId="5" w16cid:durableId="1122112738">
    <w:abstractNumId w:val="18"/>
  </w:num>
  <w:num w:numId="6" w16cid:durableId="1763649030">
    <w:abstractNumId w:val="20"/>
  </w:num>
  <w:num w:numId="7" w16cid:durableId="1285189218">
    <w:abstractNumId w:val="17"/>
  </w:num>
  <w:num w:numId="8" w16cid:durableId="1082146491">
    <w:abstractNumId w:val="25"/>
  </w:num>
  <w:num w:numId="9" w16cid:durableId="2029485801">
    <w:abstractNumId w:val="0"/>
  </w:num>
  <w:num w:numId="10" w16cid:durableId="1709446969">
    <w:abstractNumId w:val="21"/>
  </w:num>
  <w:num w:numId="11" w16cid:durableId="1804302465">
    <w:abstractNumId w:val="10"/>
  </w:num>
  <w:num w:numId="12" w16cid:durableId="1293906471">
    <w:abstractNumId w:val="7"/>
  </w:num>
  <w:num w:numId="13" w16cid:durableId="1247761622">
    <w:abstractNumId w:val="9"/>
  </w:num>
  <w:num w:numId="14" w16cid:durableId="4942271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72668874">
    <w:abstractNumId w:val="11"/>
  </w:num>
  <w:num w:numId="16" w16cid:durableId="209535">
    <w:abstractNumId w:val="13"/>
  </w:num>
  <w:num w:numId="17" w16cid:durableId="6182692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11452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823755">
    <w:abstractNumId w:val="6"/>
  </w:num>
  <w:num w:numId="20" w16cid:durableId="1597055989">
    <w:abstractNumId w:val="5"/>
  </w:num>
  <w:num w:numId="21" w16cid:durableId="1848129003">
    <w:abstractNumId w:val="8"/>
  </w:num>
  <w:num w:numId="22" w16cid:durableId="971984529">
    <w:abstractNumId w:val="23"/>
  </w:num>
  <w:num w:numId="23" w16cid:durableId="2087798465">
    <w:abstractNumId w:val="14"/>
  </w:num>
  <w:num w:numId="24" w16cid:durableId="1165780403">
    <w:abstractNumId w:val="14"/>
  </w:num>
  <w:num w:numId="25" w16cid:durableId="2146198264">
    <w:abstractNumId w:val="19"/>
  </w:num>
  <w:num w:numId="26" w16cid:durableId="191260784">
    <w:abstractNumId w:val="1"/>
  </w:num>
  <w:num w:numId="27" w16cid:durableId="1792087575">
    <w:abstractNumId w:val="4"/>
  </w:num>
  <w:num w:numId="28" w16cid:durableId="1717583674">
    <w:abstractNumId w:val="22"/>
  </w:num>
  <w:num w:numId="29" w16cid:durableId="1979803797">
    <w:abstractNumId w:val="2"/>
  </w:num>
  <w:num w:numId="30" w16cid:durableId="423457539">
    <w:abstractNumId w:val="27"/>
  </w:num>
  <w:num w:numId="31" w16cid:durableId="288822388">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BAD"/>
    <w:rsid w:val="00000138"/>
    <w:rsid w:val="00006B95"/>
    <w:rsid w:val="00007235"/>
    <w:rsid w:val="00021E15"/>
    <w:rsid w:val="00027CE6"/>
    <w:rsid w:val="00041547"/>
    <w:rsid w:val="0004741B"/>
    <w:rsid w:val="000478B2"/>
    <w:rsid w:val="00055E96"/>
    <w:rsid w:val="000576F2"/>
    <w:rsid w:val="00064465"/>
    <w:rsid w:val="0007430C"/>
    <w:rsid w:val="0007663E"/>
    <w:rsid w:val="000822E4"/>
    <w:rsid w:val="00092B65"/>
    <w:rsid w:val="000A0302"/>
    <w:rsid w:val="000A2750"/>
    <w:rsid w:val="000A373E"/>
    <w:rsid w:val="000A4BA4"/>
    <w:rsid w:val="000A7497"/>
    <w:rsid w:val="000B14C2"/>
    <w:rsid w:val="000B395D"/>
    <w:rsid w:val="000B453B"/>
    <w:rsid w:val="000B7A04"/>
    <w:rsid w:val="000C2F97"/>
    <w:rsid w:val="000C5267"/>
    <w:rsid w:val="000C588E"/>
    <w:rsid w:val="000D00F1"/>
    <w:rsid w:val="000D5100"/>
    <w:rsid w:val="000E1DA2"/>
    <w:rsid w:val="000E1F47"/>
    <w:rsid w:val="000E4A95"/>
    <w:rsid w:val="000E53E1"/>
    <w:rsid w:val="000E6584"/>
    <w:rsid w:val="000E6643"/>
    <w:rsid w:val="000F2985"/>
    <w:rsid w:val="000F733C"/>
    <w:rsid w:val="00106D06"/>
    <w:rsid w:val="00111C2E"/>
    <w:rsid w:val="001131F6"/>
    <w:rsid w:val="00114FB3"/>
    <w:rsid w:val="00115790"/>
    <w:rsid w:val="00121832"/>
    <w:rsid w:val="00126360"/>
    <w:rsid w:val="00127531"/>
    <w:rsid w:val="001418C5"/>
    <w:rsid w:val="001424BD"/>
    <w:rsid w:val="00145173"/>
    <w:rsid w:val="00155600"/>
    <w:rsid w:val="00155A91"/>
    <w:rsid w:val="00162C99"/>
    <w:rsid w:val="00164E1B"/>
    <w:rsid w:val="00171494"/>
    <w:rsid w:val="0017393A"/>
    <w:rsid w:val="0017459D"/>
    <w:rsid w:val="001751CF"/>
    <w:rsid w:val="001818ED"/>
    <w:rsid w:val="00183E92"/>
    <w:rsid w:val="00193AC8"/>
    <w:rsid w:val="00197025"/>
    <w:rsid w:val="001A6BD6"/>
    <w:rsid w:val="001B4936"/>
    <w:rsid w:val="001B52E4"/>
    <w:rsid w:val="001D1371"/>
    <w:rsid w:val="001D34E7"/>
    <w:rsid w:val="001D5FC6"/>
    <w:rsid w:val="001E01A5"/>
    <w:rsid w:val="001E2906"/>
    <w:rsid w:val="001F1574"/>
    <w:rsid w:val="001F1C2B"/>
    <w:rsid w:val="001F2D35"/>
    <w:rsid w:val="001F6636"/>
    <w:rsid w:val="00203F21"/>
    <w:rsid w:val="002074CD"/>
    <w:rsid w:val="00211725"/>
    <w:rsid w:val="002126D6"/>
    <w:rsid w:val="00220984"/>
    <w:rsid w:val="0022250E"/>
    <w:rsid w:val="0022350B"/>
    <w:rsid w:val="00223E67"/>
    <w:rsid w:val="00224E6B"/>
    <w:rsid w:val="00230378"/>
    <w:rsid w:val="00230608"/>
    <w:rsid w:val="0023258F"/>
    <w:rsid w:val="00235856"/>
    <w:rsid w:val="00242890"/>
    <w:rsid w:val="0024381B"/>
    <w:rsid w:val="0024772A"/>
    <w:rsid w:val="002539F7"/>
    <w:rsid w:val="00270182"/>
    <w:rsid w:val="00270C0B"/>
    <w:rsid w:val="0027151F"/>
    <w:rsid w:val="00283D6A"/>
    <w:rsid w:val="00287A14"/>
    <w:rsid w:val="00293702"/>
    <w:rsid w:val="002978C6"/>
    <w:rsid w:val="002A3A86"/>
    <w:rsid w:val="002A3C55"/>
    <w:rsid w:val="002A45B8"/>
    <w:rsid w:val="002A6C84"/>
    <w:rsid w:val="002B0F23"/>
    <w:rsid w:val="002B1816"/>
    <w:rsid w:val="002B6B26"/>
    <w:rsid w:val="002C07F7"/>
    <w:rsid w:val="002C6465"/>
    <w:rsid w:val="002C7548"/>
    <w:rsid w:val="002D007C"/>
    <w:rsid w:val="002D5B9B"/>
    <w:rsid w:val="002D6FDC"/>
    <w:rsid w:val="002E0482"/>
    <w:rsid w:val="002E1207"/>
    <w:rsid w:val="002E5780"/>
    <w:rsid w:val="002F0A10"/>
    <w:rsid w:val="002F23E8"/>
    <w:rsid w:val="002F258E"/>
    <w:rsid w:val="002F5C4C"/>
    <w:rsid w:val="002F742C"/>
    <w:rsid w:val="0030269D"/>
    <w:rsid w:val="00305783"/>
    <w:rsid w:val="003062D6"/>
    <w:rsid w:val="00311067"/>
    <w:rsid w:val="00315DC3"/>
    <w:rsid w:val="0031684A"/>
    <w:rsid w:val="00322334"/>
    <w:rsid w:val="00324F8C"/>
    <w:rsid w:val="00330532"/>
    <w:rsid w:val="00335064"/>
    <w:rsid w:val="00335592"/>
    <w:rsid w:val="00341E72"/>
    <w:rsid w:val="0034754C"/>
    <w:rsid w:val="0035047D"/>
    <w:rsid w:val="00367FB8"/>
    <w:rsid w:val="00372577"/>
    <w:rsid w:val="003756C1"/>
    <w:rsid w:val="00377250"/>
    <w:rsid w:val="00383A52"/>
    <w:rsid w:val="00384CE2"/>
    <w:rsid w:val="00384FF9"/>
    <w:rsid w:val="003862DD"/>
    <w:rsid w:val="003865A7"/>
    <w:rsid w:val="0038674C"/>
    <w:rsid w:val="00387E00"/>
    <w:rsid w:val="00390A30"/>
    <w:rsid w:val="003932C7"/>
    <w:rsid w:val="00397905"/>
    <w:rsid w:val="003B37EF"/>
    <w:rsid w:val="003B4DEC"/>
    <w:rsid w:val="003B54AB"/>
    <w:rsid w:val="003B5990"/>
    <w:rsid w:val="003B5B88"/>
    <w:rsid w:val="003B78F2"/>
    <w:rsid w:val="003C2CA2"/>
    <w:rsid w:val="003E3784"/>
    <w:rsid w:val="003E6E50"/>
    <w:rsid w:val="003F3705"/>
    <w:rsid w:val="003F4AF8"/>
    <w:rsid w:val="0040437E"/>
    <w:rsid w:val="004217BB"/>
    <w:rsid w:val="00422372"/>
    <w:rsid w:val="0043345B"/>
    <w:rsid w:val="004379A3"/>
    <w:rsid w:val="00442CEF"/>
    <w:rsid w:val="00445E46"/>
    <w:rsid w:val="004606E1"/>
    <w:rsid w:val="00463261"/>
    <w:rsid w:val="004761AB"/>
    <w:rsid w:val="0047680F"/>
    <w:rsid w:val="0048542B"/>
    <w:rsid w:val="004945B0"/>
    <w:rsid w:val="004951E0"/>
    <w:rsid w:val="004A0C6E"/>
    <w:rsid w:val="004A21BE"/>
    <w:rsid w:val="004A3057"/>
    <w:rsid w:val="004A3BB0"/>
    <w:rsid w:val="004A405B"/>
    <w:rsid w:val="004B0381"/>
    <w:rsid w:val="004B1674"/>
    <w:rsid w:val="004B3A53"/>
    <w:rsid w:val="004C778E"/>
    <w:rsid w:val="004D1F72"/>
    <w:rsid w:val="004D3BE9"/>
    <w:rsid w:val="004D6F47"/>
    <w:rsid w:val="004E4405"/>
    <w:rsid w:val="00513C80"/>
    <w:rsid w:val="00514206"/>
    <w:rsid w:val="005177E1"/>
    <w:rsid w:val="005178E8"/>
    <w:rsid w:val="00517B4F"/>
    <w:rsid w:val="00527C2F"/>
    <w:rsid w:val="00536F3A"/>
    <w:rsid w:val="00544255"/>
    <w:rsid w:val="0054517F"/>
    <w:rsid w:val="00546763"/>
    <w:rsid w:val="00556D7A"/>
    <w:rsid w:val="00557344"/>
    <w:rsid w:val="005601D9"/>
    <w:rsid w:val="00570D3D"/>
    <w:rsid w:val="00575DAB"/>
    <w:rsid w:val="00581887"/>
    <w:rsid w:val="00581A83"/>
    <w:rsid w:val="00583FD6"/>
    <w:rsid w:val="00584FD6"/>
    <w:rsid w:val="00585DED"/>
    <w:rsid w:val="00591C70"/>
    <w:rsid w:val="005A4213"/>
    <w:rsid w:val="005A5A09"/>
    <w:rsid w:val="005A6E69"/>
    <w:rsid w:val="005B6043"/>
    <w:rsid w:val="005B763A"/>
    <w:rsid w:val="005C1FE8"/>
    <w:rsid w:val="005C309A"/>
    <w:rsid w:val="005C7F22"/>
    <w:rsid w:val="005D0618"/>
    <w:rsid w:val="005D2612"/>
    <w:rsid w:val="005D3476"/>
    <w:rsid w:val="005D5056"/>
    <w:rsid w:val="005D6CD1"/>
    <w:rsid w:val="005E54B0"/>
    <w:rsid w:val="005F0F37"/>
    <w:rsid w:val="005F2F65"/>
    <w:rsid w:val="00600E30"/>
    <w:rsid w:val="0060388C"/>
    <w:rsid w:val="00605C06"/>
    <w:rsid w:val="006123DA"/>
    <w:rsid w:val="00612AC2"/>
    <w:rsid w:val="00616A57"/>
    <w:rsid w:val="00616C87"/>
    <w:rsid w:val="00622F77"/>
    <w:rsid w:val="00627986"/>
    <w:rsid w:val="00632A0D"/>
    <w:rsid w:val="00635D4C"/>
    <w:rsid w:val="00641DA6"/>
    <w:rsid w:val="00644E69"/>
    <w:rsid w:val="00647CC3"/>
    <w:rsid w:val="00650CC7"/>
    <w:rsid w:val="00652B98"/>
    <w:rsid w:val="00653474"/>
    <w:rsid w:val="006535B3"/>
    <w:rsid w:val="00656D69"/>
    <w:rsid w:val="00664ADF"/>
    <w:rsid w:val="00667C97"/>
    <w:rsid w:val="00672CD6"/>
    <w:rsid w:val="00673501"/>
    <w:rsid w:val="0068599C"/>
    <w:rsid w:val="00690229"/>
    <w:rsid w:val="006A4894"/>
    <w:rsid w:val="006A7FEA"/>
    <w:rsid w:val="006B4287"/>
    <w:rsid w:val="006B59F5"/>
    <w:rsid w:val="006C2836"/>
    <w:rsid w:val="006D44B6"/>
    <w:rsid w:val="006D4F91"/>
    <w:rsid w:val="006D51E3"/>
    <w:rsid w:val="006D580B"/>
    <w:rsid w:val="006E0A3E"/>
    <w:rsid w:val="006E4A06"/>
    <w:rsid w:val="006E504B"/>
    <w:rsid w:val="006F44DA"/>
    <w:rsid w:val="00703850"/>
    <w:rsid w:val="007146A6"/>
    <w:rsid w:val="007319A0"/>
    <w:rsid w:val="007337F1"/>
    <w:rsid w:val="00741703"/>
    <w:rsid w:val="007431E9"/>
    <w:rsid w:val="00745B3D"/>
    <w:rsid w:val="00747966"/>
    <w:rsid w:val="00753883"/>
    <w:rsid w:val="00754D72"/>
    <w:rsid w:val="00755773"/>
    <w:rsid w:val="007576C6"/>
    <w:rsid w:val="00763D5B"/>
    <w:rsid w:val="00770424"/>
    <w:rsid w:val="007734BC"/>
    <w:rsid w:val="00775E99"/>
    <w:rsid w:val="00776A99"/>
    <w:rsid w:val="00781E95"/>
    <w:rsid w:val="007905A1"/>
    <w:rsid w:val="0079342D"/>
    <w:rsid w:val="007963BC"/>
    <w:rsid w:val="007B14C6"/>
    <w:rsid w:val="007B441F"/>
    <w:rsid w:val="007B7CD9"/>
    <w:rsid w:val="007B7E07"/>
    <w:rsid w:val="007D063B"/>
    <w:rsid w:val="007D22B3"/>
    <w:rsid w:val="007D39CA"/>
    <w:rsid w:val="007D63FE"/>
    <w:rsid w:val="007E26D3"/>
    <w:rsid w:val="007F0597"/>
    <w:rsid w:val="007F76FE"/>
    <w:rsid w:val="008019C1"/>
    <w:rsid w:val="00805EA2"/>
    <w:rsid w:val="00806D86"/>
    <w:rsid w:val="0081075D"/>
    <w:rsid w:val="00810EFD"/>
    <w:rsid w:val="00817D58"/>
    <w:rsid w:val="00824357"/>
    <w:rsid w:val="0083263E"/>
    <w:rsid w:val="00853896"/>
    <w:rsid w:val="008639AC"/>
    <w:rsid w:val="00866BCF"/>
    <w:rsid w:val="00873C8C"/>
    <w:rsid w:val="00873CED"/>
    <w:rsid w:val="008742F6"/>
    <w:rsid w:val="00880CAD"/>
    <w:rsid w:val="00880EA6"/>
    <w:rsid w:val="00886922"/>
    <w:rsid w:val="008A008B"/>
    <w:rsid w:val="008A4137"/>
    <w:rsid w:val="008A7F93"/>
    <w:rsid w:val="008B4FB4"/>
    <w:rsid w:val="008B7B83"/>
    <w:rsid w:val="008C0F76"/>
    <w:rsid w:val="008C7DA2"/>
    <w:rsid w:val="008D29B8"/>
    <w:rsid w:val="008D3BDC"/>
    <w:rsid w:val="008E2B36"/>
    <w:rsid w:val="008F5EB8"/>
    <w:rsid w:val="00903C55"/>
    <w:rsid w:val="00904DFA"/>
    <w:rsid w:val="00905878"/>
    <w:rsid w:val="00907406"/>
    <w:rsid w:val="00910EB9"/>
    <w:rsid w:val="009120BD"/>
    <w:rsid w:val="00915867"/>
    <w:rsid w:val="0092322A"/>
    <w:rsid w:val="0092360A"/>
    <w:rsid w:val="00925B56"/>
    <w:rsid w:val="0092646C"/>
    <w:rsid w:val="009268F5"/>
    <w:rsid w:val="00931301"/>
    <w:rsid w:val="009328E2"/>
    <w:rsid w:val="009355F7"/>
    <w:rsid w:val="00937580"/>
    <w:rsid w:val="0094289A"/>
    <w:rsid w:val="0094734C"/>
    <w:rsid w:val="009500FC"/>
    <w:rsid w:val="00966B5E"/>
    <w:rsid w:val="009700F0"/>
    <w:rsid w:val="009709E0"/>
    <w:rsid w:val="009731F6"/>
    <w:rsid w:val="00975721"/>
    <w:rsid w:val="0098046E"/>
    <w:rsid w:val="00986983"/>
    <w:rsid w:val="00987F64"/>
    <w:rsid w:val="00995549"/>
    <w:rsid w:val="00997306"/>
    <w:rsid w:val="009A49F8"/>
    <w:rsid w:val="009A5925"/>
    <w:rsid w:val="009A6252"/>
    <w:rsid w:val="009A6DC2"/>
    <w:rsid w:val="009B04A3"/>
    <w:rsid w:val="009B617C"/>
    <w:rsid w:val="009C3F03"/>
    <w:rsid w:val="009C454E"/>
    <w:rsid w:val="009C5BBA"/>
    <w:rsid w:val="009D0769"/>
    <w:rsid w:val="009E2784"/>
    <w:rsid w:val="009E4D55"/>
    <w:rsid w:val="009E51C2"/>
    <w:rsid w:val="009F61ED"/>
    <w:rsid w:val="00A03F2C"/>
    <w:rsid w:val="00A05048"/>
    <w:rsid w:val="00A0509B"/>
    <w:rsid w:val="00A07C93"/>
    <w:rsid w:val="00A126CB"/>
    <w:rsid w:val="00A13E87"/>
    <w:rsid w:val="00A14146"/>
    <w:rsid w:val="00A145A0"/>
    <w:rsid w:val="00A36F9B"/>
    <w:rsid w:val="00A37374"/>
    <w:rsid w:val="00A44949"/>
    <w:rsid w:val="00A52C45"/>
    <w:rsid w:val="00A54EB1"/>
    <w:rsid w:val="00A565DB"/>
    <w:rsid w:val="00A61223"/>
    <w:rsid w:val="00A6260E"/>
    <w:rsid w:val="00A725AB"/>
    <w:rsid w:val="00A7407C"/>
    <w:rsid w:val="00A800DB"/>
    <w:rsid w:val="00A82193"/>
    <w:rsid w:val="00A903CE"/>
    <w:rsid w:val="00A91DC6"/>
    <w:rsid w:val="00A91DD3"/>
    <w:rsid w:val="00A952B3"/>
    <w:rsid w:val="00A95794"/>
    <w:rsid w:val="00AA0D68"/>
    <w:rsid w:val="00AA0E11"/>
    <w:rsid w:val="00AA34EF"/>
    <w:rsid w:val="00AA4BA2"/>
    <w:rsid w:val="00AA6F7A"/>
    <w:rsid w:val="00AA7969"/>
    <w:rsid w:val="00AB11CC"/>
    <w:rsid w:val="00AC1E6C"/>
    <w:rsid w:val="00AC32A7"/>
    <w:rsid w:val="00AC4FD8"/>
    <w:rsid w:val="00AD0C30"/>
    <w:rsid w:val="00AD50C9"/>
    <w:rsid w:val="00AF3712"/>
    <w:rsid w:val="00AF4B9E"/>
    <w:rsid w:val="00B00954"/>
    <w:rsid w:val="00B0125F"/>
    <w:rsid w:val="00B014BD"/>
    <w:rsid w:val="00B01927"/>
    <w:rsid w:val="00B01AD8"/>
    <w:rsid w:val="00B044BF"/>
    <w:rsid w:val="00B06039"/>
    <w:rsid w:val="00B073EE"/>
    <w:rsid w:val="00B120C0"/>
    <w:rsid w:val="00B14C24"/>
    <w:rsid w:val="00B368B4"/>
    <w:rsid w:val="00B42327"/>
    <w:rsid w:val="00B4695D"/>
    <w:rsid w:val="00B516F6"/>
    <w:rsid w:val="00B51AA5"/>
    <w:rsid w:val="00B52417"/>
    <w:rsid w:val="00B574A5"/>
    <w:rsid w:val="00B6359C"/>
    <w:rsid w:val="00B644AD"/>
    <w:rsid w:val="00B70313"/>
    <w:rsid w:val="00B8103E"/>
    <w:rsid w:val="00B86754"/>
    <w:rsid w:val="00B874A6"/>
    <w:rsid w:val="00B97B66"/>
    <w:rsid w:val="00BA30F1"/>
    <w:rsid w:val="00BA7C11"/>
    <w:rsid w:val="00BB2965"/>
    <w:rsid w:val="00BB4289"/>
    <w:rsid w:val="00BD3ADB"/>
    <w:rsid w:val="00BD5231"/>
    <w:rsid w:val="00BE0698"/>
    <w:rsid w:val="00BF19FB"/>
    <w:rsid w:val="00BF72AD"/>
    <w:rsid w:val="00C01065"/>
    <w:rsid w:val="00C03CCE"/>
    <w:rsid w:val="00C0419C"/>
    <w:rsid w:val="00C056F0"/>
    <w:rsid w:val="00C10379"/>
    <w:rsid w:val="00C17121"/>
    <w:rsid w:val="00C2078F"/>
    <w:rsid w:val="00C2162A"/>
    <w:rsid w:val="00C218BF"/>
    <w:rsid w:val="00C220D9"/>
    <w:rsid w:val="00C24F75"/>
    <w:rsid w:val="00C318BD"/>
    <w:rsid w:val="00C334C9"/>
    <w:rsid w:val="00C40677"/>
    <w:rsid w:val="00C40CA7"/>
    <w:rsid w:val="00C43C6B"/>
    <w:rsid w:val="00C456F7"/>
    <w:rsid w:val="00C45922"/>
    <w:rsid w:val="00C55233"/>
    <w:rsid w:val="00C60949"/>
    <w:rsid w:val="00C61BCC"/>
    <w:rsid w:val="00C6465E"/>
    <w:rsid w:val="00C65424"/>
    <w:rsid w:val="00C7357F"/>
    <w:rsid w:val="00C746B4"/>
    <w:rsid w:val="00C772E8"/>
    <w:rsid w:val="00C91D42"/>
    <w:rsid w:val="00C94136"/>
    <w:rsid w:val="00C9500E"/>
    <w:rsid w:val="00CA1E78"/>
    <w:rsid w:val="00CA200B"/>
    <w:rsid w:val="00CA3022"/>
    <w:rsid w:val="00CA6C49"/>
    <w:rsid w:val="00CB6E42"/>
    <w:rsid w:val="00CB7C51"/>
    <w:rsid w:val="00CC094A"/>
    <w:rsid w:val="00CC0A18"/>
    <w:rsid w:val="00CC14E7"/>
    <w:rsid w:val="00CD0F9B"/>
    <w:rsid w:val="00CD7532"/>
    <w:rsid w:val="00CE1FEA"/>
    <w:rsid w:val="00CF29B5"/>
    <w:rsid w:val="00CF39F2"/>
    <w:rsid w:val="00CF3CBF"/>
    <w:rsid w:val="00D05DEA"/>
    <w:rsid w:val="00D14A9E"/>
    <w:rsid w:val="00D16831"/>
    <w:rsid w:val="00D23063"/>
    <w:rsid w:val="00D23C72"/>
    <w:rsid w:val="00D257EF"/>
    <w:rsid w:val="00D30BBC"/>
    <w:rsid w:val="00D33E20"/>
    <w:rsid w:val="00D34074"/>
    <w:rsid w:val="00D41C11"/>
    <w:rsid w:val="00D41DA2"/>
    <w:rsid w:val="00D454BF"/>
    <w:rsid w:val="00D51C18"/>
    <w:rsid w:val="00D52C26"/>
    <w:rsid w:val="00D531AC"/>
    <w:rsid w:val="00D63958"/>
    <w:rsid w:val="00D73076"/>
    <w:rsid w:val="00D76B93"/>
    <w:rsid w:val="00D8145E"/>
    <w:rsid w:val="00D84DCD"/>
    <w:rsid w:val="00D9595D"/>
    <w:rsid w:val="00D967D1"/>
    <w:rsid w:val="00DA7C5D"/>
    <w:rsid w:val="00DB0435"/>
    <w:rsid w:val="00DB6108"/>
    <w:rsid w:val="00DC321F"/>
    <w:rsid w:val="00DC432B"/>
    <w:rsid w:val="00DC7049"/>
    <w:rsid w:val="00DC75E3"/>
    <w:rsid w:val="00DD1582"/>
    <w:rsid w:val="00DD5391"/>
    <w:rsid w:val="00DD6A25"/>
    <w:rsid w:val="00DE30A9"/>
    <w:rsid w:val="00DE52C3"/>
    <w:rsid w:val="00DE7EDE"/>
    <w:rsid w:val="00DE7F1D"/>
    <w:rsid w:val="00DF0514"/>
    <w:rsid w:val="00DF1698"/>
    <w:rsid w:val="00DF564D"/>
    <w:rsid w:val="00DF7F08"/>
    <w:rsid w:val="00E04CAE"/>
    <w:rsid w:val="00E16665"/>
    <w:rsid w:val="00E16B01"/>
    <w:rsid w:val="00E230C3"/>
    <w:rsid w:val="00E257A6"/>
    <w:rsid w:val="00E34BAD"/>
    <w:rsid w:val="00E3674B"/>
    <w:rsid w:val="00E45669"/>
    <w:rsid w:val="00E53DC4"/>
    <w:rsid w:val="00E62B97"/>
    <w:rsid w:val="00E6391E"/>
    <w:rsid w:val="00E63C5A"/>
    <w:rsid w:val="00E72578"/>
    <w:rsid w:val="00E72B9C"/>
    <w:rsid w:val="00E73EC7"/>
    <w:rsid w:val="00E8041B"/>
    <w:rsid w:val="00E80741"/>
    <w:rsid w:val="00E85CDD"/>
    <w:rsid w:val="00E8783F"/>
    <w:rsid w:val="00E90545"/>
    <w:rsid w:val="00E913DF"/>
    <w:rsid w:val="00E924DA"/>
    <w:rsid w:val="00E9289A"/>
    <w:rsid w:val="00EA4BE1"/>
    <w:rsid w:val="00EA7D1A"/>
    <w:rsid w:val="00EB16E4"/>
    <w:rsid w:val="00EB181B"/>
    <w:rsid w:val="00EC684E"/>
    <w:rsid w:val="00ED3236"/>
    <w:rsid w:val="00ED5DB9"/>
    <w:rsid w:val="00ED6E25"/>
    <w:rsid w:val="00EE56DA"/>
    <w:rsid w:val="00EE5B15"/>
    <w:rsid w:val="00EF7B4F"/>
    <w:rsid w:val="00F004A6"/>
    <w:rsid w:val="00F02D8A"/>
    <w:rsid w:val="00F0787D"/>
    <w:rsid w:val="00F1212A"/>
    <w:rsid w:val="00F12B6D"/>
    <w:rsid w:val="00F135AE"/>
    <w:rsid w:val="00F1389E"/>
    <w:rsid w:val="00F1673E"/>
    <w:rsid w:val="00F3323D"/>
    <w:rsid w:val="00F332A5"/>
    <w:rsid w:val="00F40A2A"/>
    <w:rsid w:val="00F451C7"/>
    <w:rsid w:val="00F53E04"/>
    <w:rsid w:val="00F55703"/>
    <w:rsid w:val="00F608FB"/>
    <w:rsid w:val="00F62F46"/>
    <w:rsid w:val="00F661F0"/>
    <w:rsid w:val="00F8702B"/>
    <w:rsid w:val="00F90398"/>
    <w:rsid w:val="00F93A7C"/>
    <w:rsid w:val="00FA0FA5"/>
    <w:rsid w:val="00FA4665"/>
    <w:rsid w:val="00FA47FF"/>
    <w:rsid w:val="00FA60EA"/>
    <w:rsid w:val="00FB3C7B"/>
    <w:rsid w:val="00FC2C41"/>
    <w:rsid w:val="00FC455B"/>
    <w:rsid w:val="00FC58D9"/>
    <w:rsid w:val="00FC5B38"/>
    <w:rsid w:val="00FC6A56"/>
    <w:rsid w:val="00FC7893"/>
    <w:rsid w:val="00FD1FAC"/>
    <w:rsid w:val="00FD4934"/>
    <w:rsid w:val="00FF06E1"/>
    <w:rsid w:val="00FF1E46"/>
    <w:rsid w:val="00FF2B61"/>
    <w:rsid w:val="00FF4726"/>
    <w:rsid w:val="00FF6672"/>
    <w:rsid w:val="00FF78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AF33C"/>
  <w15:chartTrackingRefBased/>
  <w15:docId w15:val="{20BB4B6A-34AE-40F2-AD94-17AE0EACD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34B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E34B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34BA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34BA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34BA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34BA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34BA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34BA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34BA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34BA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E34BA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34BA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34BA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34BA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34BA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34BA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34BA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34BAD"/>
    <w:rPr>
      <w:rFonts w:eastAsiaTheme="majorEastAsia" w:cstheme="majorBidi"/>
      <w:color w:val="272727" w:themeColor="text1" w:themeTint="D8"/>
    </w:rPr>
  </w:style>
  <w:style w:type="paragraph" w:styleId="Titolo">
    <w:name w:val="Title"/>
    <w:basedOn w:val="Normale"/>
    <w:next w:val="Normale"/>
    <w:link w:val="TitoloCarattere"/>
    <w:uiPriority w:val="10"/>
    <w:qFormat/>
    <w:rsid w:val="00E34B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34BA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34BA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34BA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34BA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34BAD"/>
    <w:rPr>
      <w:i/>
      <w:iCs/>
      <w:color w:val="404040" w:themeColor="text1" w:themeTint="BF"/>
    </w:rPr>
  </w:style>
  <w:style w:type="paragraph" w:styleId="Paragrafoelenco">
    <w:name w:val="List Paragraph"/>
    <w:aliases w:val="Dot pt,F5 List Paragraph,List Paragraph Char Char Char,Indicator Text,Numbered Para 1,Bullet 1,Bullet Points,List Paragraph2,MAIN CONTENT,Normal numbered,Colorful List - Accent 11,No Spacing1,Issue Action POC,3,Toc 1.1.1,List Paragraph1"/>
    <w:basedOn w:val="Normale"/>
    <w:link w:val="ParagrafoelencoCarattere"/>
    <w:uiPriority w:val="34"/>
    <w:qFormat/>
    <w:rsid w:val="00E34BAD"/>
    <w:pPr>
      <w:ind w:left="720"/>
      <w:contextualSpacing/>
    </w:pPr>
  </w:style>
  <w:style w:type="character" w:styleId="Enfasiintensa">
    <w:name w:val="Intense Emphasis"/>
    <w:basedOn w:val="Carpredefinitoparagrafo"/>
    <w:uiPriority w:val="21"/>
    <w:qFormat/>
    <w:rsid w:val="00E34BAD"/>
    <w:rPr>
      <w:i/>
      <w:iCs/>
      <w:color w:val="0F4761" w:themeColor="accent1" w:themeShade="BF"/>
    </w:rPr>
  </w:style>
  <w:style w:type="paragraph" w:styleId="Citazioneintensa">
    <w:name w:val="Intense Quote"/>
    <w:basedOn w:val="Normale"/>
    <w:next w:val="Normale"/>
    <w:link w:val="CitazioneintensaCarattere"/>
    <w:uiPriority w:val="30"/>
    <w:qFormat/>
    <w:rsid w:val="00E34B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34BAD"/>
    <w:rPr>
      <w:i/>
      <w:iCs/>
      <w:color w:val="0F4761" w:themeColor="accent1" w:themeShade="BF"/>
    </w:rPr>
  </w:style>
  <w:style w:type="character" w:styleId="Riferimentointenso">
    <w:name w:val="Intense Reference"/>
    <w:basedOn w:val="Carpredefinitoparagrafo"/>
    <w:uiPriority w:val="32"/>
    <w:qFormat/>
    <w:rsid w:val="00E34BAD"/>
    <w:rPr>
      <w:b/>
      <w:bCs/>
      <w:smallCaps/>
      <w:color w:val="0F4761" w:themeColor="accent1" w:themeShade="BF"/>
      <w:spacing w:val="5"/>
    </w:rPr>
  </w:style>
  <w:style w:type="character" w:customStyle="1" w:styleId="ParagrafoelencoCarattere">
    <w:name w:val="Paragrafo elenco Carattere"/>
    <w:aliases w:val="Dot pt Carattere,F5 List Paragraph Carattere,List Paragraph Char Char Char Carattere,Indicator Text Carattere,Numbered Para 1 Carattere,Bullet 1 Carattere,Bullet Points Carattere,List Paragraph2 Carattere,No Spacing1 Carattere"/>
    <w:link w:val="Paragrafoelenco"/>
    <w:uiPriority w:val="34"/>
    <w:qFormat/>
    <w:locked/>
    <w:rsid w:val="002F23E8"/>
  </w:style>
  <w:style w:type="character" w:styleId="Collegamentoipertestuale">
    <w:name w:val="Hyperlink"/>
    <w:basedOn w:val="Carpredefinitoparagrafo"/>
    <w:uiPriority w:val="99"/>
    <w:unhideWhenUsed/>
    <w:rsid w:val="00000138"/>
    <w:rPr>
      <w:color w:val="467886" w:themeColor="hyperlink"/>
      <w:u w:val="single"/>
    </w:rPr>
  </w:style>
  <w:style w:type="character" w:styleId="Menzionenonrisolta">
    <w:name w:val="Unresolved Mention"/>
    <w:basedOn w:val="Carpredefinitoparagrafo"/>
    <w:uiPriority w:val="99"/>
    <w:semiHidden/>
    <w:unhideWhenUsed/>
    <w:rsid w:val="00000138"/>
    <w:rPr>
      <w:color w:val="605E5C"/>
      <w:shd w:val="clear" w:color="auto" w:fill="E1DFDD"/>
    </w:rPr>
  </w:style>
  <w:style w:type="character" w:styleId="Rimandocommento">
    <w:name w:val="annotation reference"/>
    <w:basedOn w:val="Carpredefinitoparagrafo"/>
    <w:uiPriority w:val="99"/>
    <w:semiHidden/>
    <w:unhideWhenUsed/>
    <w:rsid w:val="00CD0F9B"/>
    <w:rPr>
      <w:sz w:val="16"/>
      <w:szCs w:val="16"/>
    </w:rPr>
  </w:style>
  <w:style w:type="paragraph" w:styleId="Testocommento">
    <w:name w:val="annotation text"/>
    <w:basedOn w:val="Normale"/>
    <w:link w:val="TestocommentoCarattere"/>
    <w:uiPriority w:val="99"/>
    <w:unhideWhenUsed/>
    <w:rsid w:val="00CD0F9B"/>
    <w:pPr>
      <w:spacing w:after="0" w:line="240" w:lineRule="auto"/>
    </w:pPr>
    <w:rPr>
      <w:rFonts w:ascii="Aptos" w:hAnsi="Aptos" w:cs="Aptos"/>
      <w:kern w:val="0"/>
      <w:sz w:val="20"/>
      <w:szCs w:val="20"/>
    </w:rPr>
  </w:style>
  <w:style w:type="character" w:customStyle="1" w:styleId="TestocommentoCarattere">
    <w:name w:val="Testo commento Carattere"/>
    <w:basedOn w:val="Carpredefinitoparagrafo"/>
    <w:link w:val="Testocommento"/>
    <w:uiPriority w:val="99"/>
    <w:rsid w:val="00CD0F9B"/>
    <w:rPr>
      <w:rFonts w:ascii="Aptos" w:hAnsi="Aptos" w:cs="Aptos"/>
      <w:kern w:val="0"/>
      <w:sz w:val="20"/>
      <w:szCs w:val="20"/>
    </w:rPr>
  </w:style>
  <w:style w:type="paragraph" w:customStyle="1" w:styleId="Puntatolettere">
    <w:name w:val="Puntato lettere"/>
    <w:basedOn w:val="Paragrafoelenco"/>
    <w:qFormat/>
    <w:rsid w:val="001131F6"/>
    <w:pPr>
      <w:numPr>
        <w:numId w:val="2"/>
      </w:numPr>
      <w:spacing w:after="0" w:line="240" w:lineRule="auto"/>
      <w:ind w:left="30" w:firstLine="0"/>
      <w:jc w:val="both"/>
    </w:pPr>
    <w:rPr>
      <w:rFonts w:ascii="Times New Roman" w:hAnsi="Times New Roman" w:cs="Times New Roman"/>
      <w:sz w:val="20"/>
      <w:szCs w:val="20"/>
    </w:rPr>
  </w:style>
  <w:style w:type="character" w:styleId="Menzione">
    <w:name w:val="Mention"/>
    <w:basedOn w:val="Carpredefinitoparagrafo"/>
    <w:uiPriority w:val="99"/>
    <w:unhideWhenUsed/>
    <w:rsid w:val="00203F21"/>
    <w:rPr>
      <w:color w:val="2B579A"/>
      <w:shd w:val="clear" w:color="auto" w:fill="E1DFDD"/>
    </w:rPr>
  </w:style>
  <w:style w:type="paragraph" w:styleId="Intestazione">
    <w:name w:val="header"/>
    <w:basedOn w:val="Normale"/>
    <w:link w:val="IntestazioneCarattere"/>
    <w:uiPriority w:val="99"/>
    <w:unhideWhenUsed/>
    <w:rsid w:val="00575DA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75DAB"/>
  </w:style>
  <w:style w:type="paragraph" w:styleId="Pidipagina">
    <w:name w:val="footer"/>
    <w:basedOn w:val="Normale"/>
    <w:link w:val="PidipaginaCarattere"/>
    <w:uiPriority w:val="99"/>
    <w:unhideWhenUsed/>
    <w:rsid w:val="00575DA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75DAB"/>
  </w:style>
  <w:style w:type="paragraph" w:styleId="Soggettocommento">
    <w:name w:val="annotation subject"/>
    <w:basedOn w:val="Testocommento"/>
    <w:next w:val="Testocommento"/>
    <w:link w:val="SoggettocommentoCarattere"/>
    <w:uiPriority w:val="99"/>
    <w:semiHidden/>
    <w:unhideWhenUsed/>
    <w:rsid w:val="005178E8"/>
    <w:pPr>
      <w:spacing w:after="160"/>
    </w:pPr>
    <w:rPr>
      <w:rFonts w:asciiTheme="minorHAnsi" w:hAnsiTheme="minorHAnsi" w:cstheme="minorBidi"/>
      <w:b/>
      <w:bCs/>
      <w:kern w:val="2"/>
    </w:rPr>
  </w:style>
  <w:style w:type="character" w:customStyle="1" w:styleId="SoggettocommentoCarattere">
    <w:name w:val="Soggetto commento Carattere"/>
    <w:basedOn w:val="TestocommentoCarattere"/>
    <w:link w:val="Soggettocommento"/>
    <w:uiPriority w:val="99"/>
    <w:semiHidden/>
    <w:rsid w:val="005178E8"/>
    <w:rPr>
      <w:rFonts w:ascii="Aptos" w:hAnsi="Aptos" w:cs="Aptos"/>
      <w:b/>
      <w:bCs/>
      <w:kern w:val="0"/>
      <w:sz w:val="20"/>
      <w:szCs w:val="20"/>
    </w:rPr>
  </w:style>
  <w:style w:type="paragraph" w:styleId="NormaleWeb">
    <w:name w:val="Normal (Web)"/>
    <w:basedOn w:val="Normale"/>
    <w:uiPriority w:val="99"/>
    <w:unhideWhenUsed/>
    <w:rsid w:val="0092322A"/>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92322A"/>
    <w:rPr>
      <w:b/>
      <w:bCs/>
    </w:rPr>
  </w:style>
  <w:style w:type="paragraph" w:styleId="Corpotesto">
    <w:name w:val="Body Text"/>
    <w:basedOn w:val="Normale"/>
    <w:link w:val="CorpotestoCarattere"/>
    <w:uiPriority w:val="1"/>
    <w:qFormat/>
    <w:rsid w:val="00D531AC"/>
    <w:pPr>
      <w:widowControl w:val="0"/>
      <w:autoSpaceDE w:val="0"/>
      <w:autoSpaceDN w:val="0"/>
      <w:spacing w:after="0" w:line="240" w:lineRule="auto"/>
    </w:pPr>
    <w:rPr>
      <w:rFonts w:ascii="Times New Roman" w:eastAsia="Times New Roman" w:hAnsi="Times New Roman" w:cs="Times New Roman"/>
      <w:kern w:val="0"/>
      <w:sz w:val="20"/>
      <w:szCs w:val="22"/>
      <w14:ligatures w14:val="none"/>
    </w:rPr>
  </w:style>
  <w:style w:type="character" w:customStyle="1" w:styleId="CorpotestoCarattere">
    <w:name w:val="Corpo testo Carattere"/>
    <w:basedOn w:val="Carpredefinitoparagrafo"/>
    <w:link w:val="Corpotesto"/>
    <w:uiPriority w:val="1"/>
    <w:rsid w:val="00D531AC"/>
    <w:rPr>
      <w:rFonts w:ascii="Times New Roman" w:eastAsia="Times New Roman" w:hAnsi="Times New Roman" w:cs="Times New Roman"/>
      <w:kern w:val="0"/>
      <w:sz w:val="20"/>
      <w:szCs w:val="22"/>
      <w14:ligatures w14:val="none"/>
    </w:rPr>
  </w:style>
  <w:style w:type="paragraph" w:styleId="Revisione">
    <w:name w:val="Revision"/>
    <w:hidden/>
    <w:uiPriority w:val="99"/>
    <w:semiHidden/>
    <w:rsid w:val="000822E4"/>
    <w:pPr>
      <w:spacing w:after="0" w:line="240" w:lineRule="auto"/>
    </w:pPr>
  </w:style>
  <w:style w:type="paragraph" w:customStyle="1" w:styleId="Normale1">
    <w:name w:val="Normale1"/>
    <w:basedOn w:val="Normale"/>
    <w:pPr>
      <w:spacing w:line="276" w:lineRule="auto"/>
    </w:pPr>
    <w:rPr>
      <w:rFonts w:ascii="Aptos" w:hAnsi="Aptos" w:cs="Times New Roman"/>
      <w:lang w:eastAsia="it-IT"/>
    </w:rPr>
  </w:style>
  <w:style w:type="character" w:customStyle="1" w:styleId="normaltextrun">
    <w:name w:val="normaltextrun"/>
    <w:basedOn w:val="Carpredefinitoparagrafo"/>
    <w:rsid w:val="00A0509B"/>
  </w:style>
  <w:style w:type="paragraph" w:customStyle="1" w:styleId="Normale2">
    <w:name w:val="Normale2"/>
    <w:basedOn w:val="Normale"/>
    <w:pPr>
      <w:spacing w:line="276" w:lineRule="auto"/>
    </w:pPr>
    <w:rPr>
      <w:rFonts w:ascii="Aptos" w:hAnsi="Aptos"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1963">
      <w:bodyDiv w:val="1"/>
      <w:marLeft w:val="0"/>
      <w:marRight w:val="0"/>
      <w:marTop w:val="0"/>
      <w:marBottom w:val="0"/>
      <w:divBdr>
        <w:top w:val="none" w:sz="0" w:space="0" w:color="auto"/>
        <w:left w:val="none" w:sz="0" w:space="0" w:color="auto"/>
        <w:bottom w:val="none" w:sz="0" w:space="0" w:color="auto"/>
        <w:right w:val="none" w:sz="0" w:space="0" w:color="auto"/>
      </w:divBdr>
      <w:divsChild>
        <w:div w:id="1954285361">
          <w:marLeft w:val="0"/>
          <w:marRight w:val="0"/>
          <w:marTop w:val="0"/>
          <w:marBottom w:val="0"/>
          <w:divBdr>
            <w:top w:val="none" w:sz="0" w:space="0" w:color="auto"/>
            <w:left w:val="none" w:sz="0" w:space="0" w:color="auto"/>
            <w:bottom w:val="none" w:sz="0" w:space="0" w:color="auto"/>
            <w:right w:val="none" w:sz="0" w:space="0" w:color="auto"/>
          </w:divBdr>
          <w:divsChild>
            <w:div w:id="2087652095">
              <w:marLeft w:val="0"/>
              <w:marRight w:val="0"/>
              <w:marTop w:val="0"/>
              <w:marBottom w:val="0"/>
              <w:divBdr>
                <w:top w:val="none" w:sz="0" w:space="0" w:color="auto"/>
                <w:left w:val="none" w:sz="0" w:space="0" w:color="auto"/>
                <w:bottom w:val="none" w:sz="0" w:space="0" w:color="auto"/>
                <w:right w:val="none" w:sz="0" w:space="0" w:color="auto"/>
              </w:divBdr>
              <w:divsChild>
                <w:div w:id="98725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73423">
          <w:marLeft w:val="0"/>
          <w:marRight w:val="0"/>
          <w:marTop w:val="0"/>
          <w:marBottom w:val="0"/>
          <w:divBdr>
            <w:top w:val="none" w:sz="0" w:space="0" w:color="auto"/>
            <w:left w:val="none" w:sz="0" w:space="0" w:color="auto"/>
            <w:bottom w:val="none" w:sz="0" w:space="0" w:color="auto"/>
            <w:right w:val="none" w:sz="0" w:space="0" w:color="auto"/>
          </w:divBdr>
          <w:divsChild>
            <w:div w:id="126904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20781">
      <w:bodyDiv w:val="1"/>
      <w:marLeft w:val="0"/>
      <w:marRight w:val="0"/>
      <w:marTop w:val="0"/>
      <w:marBottom w:val="0"/>
      <w:divBdr>
        <w:top w:val="none" w:sz="0" w:space="0" w:color="auto"/>
        <w:left w:val="none" w:sz="0" w:space="0" w:color="auto"/>
        <w:bottom w:val="none" w:sz="0" w:space="0" w:color="auto"/>
        <w:right w:val="none" w:sz="0" w:space="0" w:color="auto"/>
      </w:divBdr>
    </w:div>
    <w:div w:id="90319250">
      <w:bodyDiv w:val="1"/>
      <w:marLeft w:val="0"/>
      <w:marRight w:val="0"/>
      <w:marTop w:val="0"/>
      <w:marBottom w:val="0"/>
      <w:divBdr>
        <w:top w:val="none" w:sz="0" w:space="0" w:color="auto"/>
        <w:left w:val="none" w:sz="0" w:space="0" w:color="auto"/>
        <w:bottom w:val="none" w:sz="0" w:space="0" w:color="auto"/>
        <w:right w:val="none" w:sz="0" w:space="0" w:color="auto"/>
      </w:divBdr>
    </w:div>
    <w:div w:id="147022464">
      <w:bodyDiv w:val="1"/>
      <w:marLeft w:val="0"/>
      <w:marRight w:val="0"/>
      <w:marTop w:val="0"/>
      <w:marBottom w:val="0"/>
      <w:divBdr>
        <w:top w:val="none" w:sz="0" w:space="0" w:color="auto"/>
        <w:left w:val="none" w:sz="0" w:space="0" w:color="auto"/>
        <w:bottom w:val="none" w:sz="0" w:space="0" w:color="auto"/>
        <w:right w:val="none" w:sz="0" w:space="0" w:color="auto"/>
      </w:divBdr>
    </w:div>
    <w:div w:id="248782298">
      <w:bodyDiv w:val="1"/>
      <w:marLeft w:val="0"/>
      <w:marRight w:val="0"/>
      <w:marTop w:val="0"/>
      <w:marBottom w:val="0"/>
      <w:divBdr>
        <w:top w:val="none" w:sz="0" w:space="0" w:color="auto"/>
        <w:left w:val="none" w:sz="0" w:space="0" w:color="auto"/>
        <w:bottom w:val="none" w:sz="0" w:space="0" w:color="auto"/>
        <w:right w:val="none" w:sz="0" w:space="0" w:color="auto"/>
      </w:divBdr>
    </w:div>
    <w:div w:id="355234052">
      <w:bodyDiv w:val="1"/>
      <w:marLeft w:val="0"/>
      <w:marRight w:val="0"/>
      <w:marTop w:val="0"/>
      <w:marBottom w:val="0"/>
      <w:divBdr>
        <w:top w:val="none" w:sz="0" w:space="0" w:color="auto"/>
        <w:left w:val="none" w:sz="0" w:space="0" w:color="auto"/>
        <w:bottom w:val="none" w:sz="0" w:space="0" w:color="auto"/>
        <w:right w:val="none" w:sz="0" w:space="0" w:color="auto"/>
      </w:divBdr>
    </w:div>
    <w:div w:id="364410075">
      <w:bodyDiv w:val="1"/>
      <w:marLeft w:val="0"/>
      <w:marRight w:val="0"/>
      <w:marTop w:val="0"/>
      <w:marBottom w:val="0"/>
      <w:divBdr>
        <w:top w:val="none" w:sz="0" w:space="0" w:color="auto"/>
        <w:left w:val="none" w:sz="0" w:space="0" w:color="auto"/>
        <w:bottom w:val="none" w:sz="0" w:space="0" w:color="auto"/>
        <w:right w:val="none" w:sz="0" w:space="0" w:color="auto"/>
      </w:divBdr>
    </w:div>
    <w:div w:id="372006295">
      <w:bodyDiv w:val="1"/>
      <w:marLeft w:val="0"/>
      <w:marRight w:val="0"/>
      <w:marTop w:val="0"/>
      <w:marBottom w:val="0"/>
      <w:divBdr>
        <w:top w:val="none" w:sz="0" w:space="0" w:color="auto"/>
        <w:left w:val="none" w:sz="0" w:space="0" w:color="auto"/>
        <w:bottom w:val="none" w:sz="0" w:space="0" w:color="auto"/>
        <w:right w:val="none" w:sz="0" w:space="0" w:color="auto"/>
      </w:divBdr>
    </w:div>
    <w:div w:id="391850731">
      <w:bodyDiv w:val="1"/>
      <w:marLeft w:val="0"/>
      <w:marRight w:val="0"/>
      <w:marTop w:val="0"/>
      <w:marBottom w:val="0"/>
      <w:divBdr>
        <w:top w:val="none" w:sz="0" w:space="0" w:color="auto"/>
        <w:left w:val="none" w:sz="0" w:space="0" w:color="auto"/>
        <w:bottom w:val="none" w:sz="0" w:space="0" w:color="auto"/>
        <w:right w:val="none" w:sz="0" w:space="0" w:color="auto"/>
      </w:divBdr>
    </w:div>
    <w:div w:id="489835964">
      <w:bodyDiv w:val="1"/>
      <w:marLeft w:val="0"/>
      <w:marRight w:val="0"/>
      <w:marTop w:val="0"/>
      <w:marBottom w:val="0"/>
      <w:divBdr>
        <w:top w:val="none" w:sz="0" w:space="0" w:color="auto"/>
        <w:left w:val="none" w:sz="0" w:space="0" w:color="auto"/>
        <w:bottom w:val="none" w:sz="0" w:space="0" w:color="auto"/>
        <w:right w:val="none" w:sz="0" w:space="0" w:color="auto"/>
      </w:divBdr>
      <w:divsChild>
        <w:div w:id="1632512461">
          <w:marLeft w:val="0"/>
          <w:marRight w:val="0"/>
          <w:marTop w:val="0"/>
          <w:marBottom w:val="0"/>
          <w:divBdr>
            <w:top w:val="none" w:sz="0" w:space="0" w:color="auto"/>
            <w:left w:val="none" w:sz="0" w:space="0" w:color="auto"/>
            <w:bottom w:val="none" w:sz="0" w:space="0" w:color="auto"/>
            <w:right w:val="none" w:sz="0" w:space="0" w:color="auto"/>
          </w:divBdr>
        </w:div>
        <w:div w:id="714352056">
          <w:marLeft w:val="0"/>
          <w:marRight w:val="0"/>
          <w:marTop w:val="0"/>
          <w:marBottom w:val="0"/>
          <w:divBdr>
            <w:top w:val="none" w:sz="0" w:space="0" w:color="auto"/>
            <w:left w:val="none" w:sz="0" w:space="0" w:color="auto"/>
            <w:bottom w:val="none" w:sz="0" w:space="0" w:color="auto"/>
            <w:right w:val="none" w:sz="0" w:space="0" w:color="auto"/>
          </w:divBdr>
        </w:div>
      </w:divsChild>
    </w:div>
    <w:div w:id="539054533">
      <w:bodyDiv w:val="1"/>
      <w:marLeft w:val="0"/>
      <w:marRight w:val="0"/>
      <w:marTop w:val="0"/>
      <w:marBottom w:val="0"/>
      <w:divBdr>
        <w:top w:val="none" w:sz="0" w:space="0" w:color="auto"/>
        <w:left w:val="none" w:sz="0" w:space="0" w:color="auto"/>
        <w:bottom w:val="none" w:sz="0" w:space="0" w:color="auto"/>
        <w:right w:val="none" w:sz="0" w:space="0" w:color="auto"/>
      </w:divBdr>
    </w:div>
    <w:div w:id="626619042">
      <w:bodyDiv w:val="1"/>
      <w:marLeft w:val="0"/>
      <w:marRight w:val="0"/>
      <w:marTop w:val="0"/>
      <w:marBottom w:val="0"/>
      <w:divBdr>
        <w:top w:val="none" w:sz="0" w:space="0" w:color="auto"/>
        <w:left w:val="none" w:sz="0" w:space="0" w:color="auto"/>
        <w:bottom w:val="none" w:sz="0" w:space="0" w:color="auto"/>
        <w:right w:val="none" w:sz="0" w:space="0" w:color="auto"/>
      </w:divBdr>
    </w:div>
    <w:div w:id="658579104">
      <w:bodyDiv w:val="1"/>
      <w:marLeft w:val="0"/>
      <w:marRight w:val="0"/>
      <w:marTop w:val="0"/>
      <w:marBottom w:val="0"/>
      <w:divBdr>
        <w:top w:val="none" w:sz="0" w:space="0" w:color="auto"/>
        <w:left w:val="none" w:sz="0" w:space="0" w:color="auto"/>
        <w:bottom w:val="none" w:sz="0" w:space="0" w:color="auto"/>
        <w:right w:val="none" w:sz="0" w:space="0" w:color="auto"/>
      </w:divBdr>
    </w:div>
    <w:div w:id="752363780">
      <w:bodyDiv w:val="1"/>
      <w:marLeft w:val="0"/>
      <w:marRight w:val="0"/>
      <w:marTop w:val="0"/>
      <w:marBottom w:val="0"/>
      <w:divBdr>
        <w:top w:val="none" w:sz="0" w:space="0" w:color="auto"/>
        <w:left w:val="none" w:sz="0" w:space="0" w:color="auto"/>
        <w:bottom w:val="none" w:sz="0" w:space="0" w:color="auto"/>
        <w:right w:val="none" w:sz="0" w:space="0" w:color="auto"/>
      </w:divBdr>
    </w:div>
    <w:div w:id="875507047">
      <w:bodyDiv w:val="1"/>
      <w:marLeft w:val="0"/>
      <w:marRight w:val="0"/>
      <w:marTop w:val="0"/>
      <w:marBottom w:val="0"/>
      <w:divBdr>
        <w:top w:val="none" w:sz="0" w:space="0" w:color="auto"/>
        <w:left w:val="none" w:sz="0" w:space="0" w:color="auto"/>
        <w:bottom w:val="none" w:sz="0" w:space="0" w:color="auto"/>
        <w:right w:val="none" w:sz="0" w:space="0" w:color="auto"/>
      </w:divBdr>
    </w:div>
    <w:div w:id="880359912">
      <w:bodyDiv w:val="1"/>
      <w:marLeft w:val="0"/>
      <w:marRight w:val="0"/>
      <w:marTop w:val="0"/>
      <w:marBottom w:val="0"/>
      <w:divBdr>
        <w:top w:val="none" w:sz="0" w:space="0" w:color="auto"/>
        <w:left w:val="none" w:sz="0" w:space="0" w:color="auto"/>
        <w:bottom w:val="none" w:sz="0" w:space="0" w:color="auto"/>
        <w:right w:val="none" w:sz="0" w:space="0" w:color="auto"/>
      </w:divBdr>
    </w:div>
    <w:div w:id="999383818">
      <w:bodyDiv w:val="1"/>
      <w:marLeft w:val="0"/>
      <w:marRight w:val="0"/>
      <w:marTop w:val="0"/>
      <w:marBottom w:val="0"/>
      <w:divBdr>
        <w:top w:val="none" w:sz="0" w:space="0" w:color="auto"/>
        <w:left w:val="none" w:sz="0" w:space="0" w:color="auto"/>
        <w:bottom w:val="none" w:sz="0" w:space="0" w:color="auto"/>
        <w:right w:val="none" w:sz="0" w:space="0" w:color="auto"/>
      </w:divBdr>
    </w:div>
    <w:div w:id="1043361585">
      <w:bodyDiv w:val="1"/>
      <w:marLeft w:val="0"/>
      <w:marRight w:val="0"/>
      <w:marTop w:val="0"/>
      <w:marBottom w:val="0"/>
      <w:divBdr>
        <w:top w:val="none" w:sz="0" w:space="0" w:color="auto"/>
        <w:left w:val="none" w:sz="0" w:space="0" w:color="auto"/>
        <w:bottom w:val="none" w:sz="0" w:space="0" w:color="auto"/>
        <w:right w:val="none" w:sz="0" w:space="0" w:color="auto"/>
      </w:divBdr>
    </w:div>
    <w:div w:id="1060976047">
      <w:bodyDiv w:val="1"/>
      <w:marLeft w:val="0"/>
      <w:marRight w:val="0"/>
      <w:marTop w:val="0"/>
      <w:marBottom w:val="0"/>
      <w:divBdr>
        <w:top w:val="none" w:sz="0" w:space="0" w:color="auto"/>
        <w:left w:val="none" w:sz="0" w:space="0" w:color="auto"/>
        <w:bottom w:val="none" w:sz="0" w:space="0" w:color="auto"/>
        <w:right w:val="none" w:sz="0" w:space="0" w:color="auto"/>
      </w:divBdr>
    </w:div>
    <w:div w:id="1065178480">
      <w:bodyDiv w:val="1"/>
      <w:marLeft w:val="0"/>
      <w:marRight w:val="0"/>
      <w:marTop w:val="0"/>
      <w:marBottom w:val="0"/>
      <w:divBdr>
        <w:top w:val="none" w:sz="0" w:space="0" w:color="auto"/>
        <w:left w:val="none" w:sz="0" w:space="0" w:color="auto"/>
        <w:bottom w:val="none" w:sz="0" w:space="0" w:color="auto"/>
        <w:right w:val="none" w:sz="0" w:space="0" w:color="auto"/>
      </w:divBdr>
    </w:div>
    <w:div w:id="1072266491">
      <w:bodyDiv w:val="1"/>
      <w:marLeft w:val="0"/>
      <w:marRight w:val="0"/>
      <w:marTop w:val="0"/>
      <w:marBottom w:val="0"/>
      <w:divBdr>
        <w:top w:val="none" w:sz="0" w:space="0" w:color="auto"/>
        <w:left w:val="none" w:sz="0" w:space="0" w:color="auto"/>
        <w:bottom w:val="none" w:sz="0" w:space="0" w:color="auto"/>
        <w:right w:val="none" w:sz="0" w:space="0" w:color="auto"/>
      </w:divBdr>
    </w:div>
    <w:div w:id="1083264531">
      <w:bodyDiv w:val="1"/>
      <w:marLeft w:val="0"/>
      <w:marRight w:val="0"/>
      <w:marTop w:val="0"/>
      <w:marBottom w:val="0"/>
      <w:divBdr>
        <w:top w:val="none" w:sz="0" w:space="0" w:color="auto"/>
        <w:left w:val="none" w:sz="0" w:space="0" w:color="auto"/>
        <w:bottom w:val="none" w:sz="0" w:space="0" w:color="auto"/>
        <w:right w:val="none" w:sz="0" w:space="0" w:color="auto"/>
      </w:divBdr>
    </w:div>
    <w:div w:id="1124618707">
      <w:bodyDiv w:val="1"/>
      <w:marLeft w:val="0"/>
      <w:marRight w:val="0"/>
      <w:marTop w:val="0"/>
      <w:marBottom w:val="0"/>
      <w:divBdr>
        <w:top w:val="none" w:sz="0" w:space="0" w:color="auto"/>
        <w:left w:val="none" w:sz="0" w:space="0" w:color="auto"/>
        <w:bottom w:val="none" w:sz="0" w:space="0" w:color="auto"/>
        <w:right w:val="none" w:sz="0" w:space="0" w:color="auto"/>
      </w:divBdr>
    </w:div>
    <w:div w:id="1130589701">
      <w:bodyDiv w:val="1"/>
      <w:marLeft w:val="0"/>
      <w:marRight w:val="0"/>
      <w:marTop w:val="0"/>
      <w:marBottom w:val="0"/>
      <w:divBdr>
        <w:top w:val="none" w:sz="0" w:space="0" w:color="auto"/>
        <w:left w:val="none" w:sz="0" w:space="0" w:color="auto"/>
        <w:bottom w:val="none" w:sz="0" w:space="0" w:color="auto"/>
        <w:right w:val="none" w:sz="0" w:space="0" w:color="auto"/>
      </w:divBdr>
    </w:div>
    <w:div w:id="1134984137">
      <w:bodyDiv w:val="1"/>
      <w:marLeft w:val="0"/>
      <w:marRight w:val="0"/>
      <w:marTop w:val="0"/>
      <w:marBottom w:val="0"/>
      <w:divBdr>
        <w:top w:val="none" w:sz="0" w:space="0" w:color="auto"/>
        <w:left w:val="none" w:sz="0" w:space="0" w:color="auto"/>
        <w:bottom w:val="none" w:sz="0" w:space="0" w:color="auto"/>
        <w:right w:val="none" w:sz="0" w:space="0" w:color="auto"/>
      </w:divBdr>
    </w:div>
    <w:div w:id="1147478910">
      <w:bodyDiv w:val="1"/>
      <w:marLeft w:val="0"/>
      <w:marRight w:val="0"/>
      <w:marTop w:val="0"/>
      <w:marBottom w:val="0"/>
      <w:divBdr>
        <w:top w:val="none" w:sz="0" w:space="0" w:color="auto"/>
        <w:left w:val="none" w:sz="0" w:space="0" w:color="auto"/>
        <w:bottom w:val="none" w:sz="0" w:space="0" w:color="auto"/>
        <w:right w:val="none" w:sz="0" w:space="0" w:color="auto"/>
      </w:divBdr>
    </w:div>
    <w:div w:id="1175654263">
      <w:bodyDiv w:val="1"/>
      <w:marLeft w:val="0"/>
      <w:marRight w:val="0"/>
      <w:marTop w:val="0"/>
      <w:marBottom w:val="0"/>
      <w:divBdr>
        <w:top w:val="none" w:sz="0" w:space="0" w:color="auto"/>
        <w:left w:val="none" w:sz="0" w:space="0" w:color="auto"/>
        <w:bottom w:val="none" w:sz="0" w:space="0" w:color="auto"/>
        <w:right w:val="none" w:sz="0" w:space="0" w:color="auto"/>
      </w:divBdr>
    </w:div>
    <w:div w:id="1211379966">
      <w:bodyDiv w:val="1"/>
      <w:marLeft w:val="0"/>
      <w:marRight w:val="0"/>
      <w:marTop w:val="0"/>
      <w:marBottom w:val="0"/>
      <w:divBdr>
        <w:top w:val="none" w:sz="0" w:space="0" w:color="auto"/>
        <w:left w:val="none" w:sz="0" w:space="0" w:color="auto"/>
        <w:bottom w:val="none" w:sz="0" w:space="0" w:color="auto"/>
        <w:right w:val="none" w:sz="0" w:space="0" w:color="auto"/>
      </w:divBdr>
    </w:div>
    <w:div w:id="1231035574">
      <w:bodyDiv w:val="1"/>
      <w:marLeft w:val="0"/>
      <w:marRight w:val="0"/>
      <w:marTop w:val="0"/>
      <w:marBottom w:val="0"/>
      <w:divBdr>
        <w:top w:val="none" w:sz="0" w:space="0" w:color="auto"/>
        <w:left w:val="none" w:sz="0" w:space="0" w:color="auto"/>
        <w:bottom w:val="none" w:sz="0" w:space="0" w:color="auto"/>
        <w:right w:val="none" w:sz="0" w:space="0" w:color="auto"/>
      </w:divBdr>
      <w:divsChild>
        <w:div w:id="820076321">
          <w:marLeft w:val="0"/>
          <w:marRight w:val="0"/>
          <w:marTop w:val="0"/>
          <w:marBottom w:val="0"/>
          <w:divBdr>
            <w:top w:val="none" w:sz="0" w:space="0" w:color="auto"/>
            <w:left w:val="none" w:sz="0" w:space="0" w:color="auto"/>
            <w:bottom w:val="none" w:sz="0" w:space="0" w:color="auto"/>
            <w:right w:val="none" w:sz="0" w:space="0" w:color="auto"/>
          </w:divBdr>
          <w:divsChild>
            <w:div w:id="1526291133">
              <w:marLeft w:val="0"/>
              <w:marRight w:val="0"/>
              <w:marTop w:val="0"/>
              <w:marBottom w:val="0"/>
              <w:divBdr>
                <w:top w:val="none" w:sz="0" w:space="0" w:color="auto"/>
                <w:left w:val="none" w:sz="0" w:space="0" w:color="auto"/>
                <w:bottom w:val="none" w:sz="0" w:space="0" w:color="auto"/>
                <w:right w:val="none" w:sz="0" w:space="0" w:color="auto"/>
              </w:divBdr>
              <w:divsChild>
                <w:div w:id="8649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444161">
          <w:marLeft w:val="0"/>
          <w:marRight w:val="0"/>
          <w:marTop w:val="0"/>
          <w:marBottom w:val="0"/>
          <w:divBdr>
            <w:top w:val="none" w:sz="0" w:space="0" w:color="auto"/>
            <w:left w:val="none" w:sz="0" w:space="0" w:color="auto"/>
            <w:bottom w:val="none" w:sz="0" w:space="0" w:color="auto"/>
            <w:right w:val="none" w:sz="0" w:space="0" w:color="auto"/>
          </w:divBdr>
          <w:divsChild>
            <w:div w:id="64771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19878">
      <w:bodyDiv w:val="1"/>
      <w:marLeft w:val="0"/>
      <w:marRight w:val="0"/>
      <w:marTop w:val="0"/>
      <w:marBottom w:val="0"/>
      <w:divBdr>
        <w:top w:val="none" w:sz="0" w:space="0" w:color="auto"/>
        <w:left w:val="none" w:sz="0" w:space="0" w:color="auto"/>
        <w:bottom w:val="none" w:sz="0" w:space="0" w:color="auto"/>
        <w:right w:val="none" w:sz="0" w:space="0" w:color="auto"/>
      </w:divBdr>
    </w:div>
    <w:div w:id="1302661905">
      <w:bodyDiv w:val="1"/>
      <w:marLeft w:val="0"/>
      <w:marRight w:val="0"/>
      <w:marTop w:val="0"/>
      <w:marBottom w:val="0"/>
      <w:divBdr>
        <w:top w:val="none" w:sz="0" w:space="0" w:color="auto"/>
        <w:left w:val="none" w:sz="0" w:space="0" w:color="auto"/>
        <w:bottom w:val="none" w:sz="0" w:space="0" w:color="auto"/>
        <w:right w:val="none" w:sz="0" w:space="0" w:color="auto"/>
      </w:divBdr>
    </w:div>
    <w:div w:id="1306544502">
      <w:bodyDiv w:val="1"/>
      <w:marLeft w:val="0"/>
      <w:marRight w:val="0"/>
      <w:marTop w:val="0"/>
      <w:marBottom w:val="0"/>
      <w:divBdr>
        <w:top w:val="none" w:sz="0" w:space="0" w:color="auto"/>
        <w:left w:val="none" w:sz="0" w:space="0" w:color="auto"/>
        <w:bottom w:val="none" w:sz="0" w:space="0" w:color="auto"/>
        <w:right w:val="none" w:sz="0" w:space="0" w:color="auto"/>
      </w:divBdr>
    </w:div>
    <w:div w:id="1307081995">
      <w:bodyDiv w:val="1"/>
      <w:marLeft w:val="0"/>
      <w:marRight w:val="0"/>
      <w:marTop w:val="0"/>
      <w:marBottom w:val="0"/>
      <w:divBdr>
        <w:top w:val="none" w:sz="0" w:space="0" w:color="auto"/>
        <w:left w:val="none" w:sz="0" w:space="0" w:color="auto"/>
        <w:bottom w:val="none" w:sz="0" w:space="0" w:color="auto"/>
        <w:right w:val="none" w:sz="0" w:space="0" w:color="auto"/>
      </w:divBdr>
    </w:div>
    <w:div w:id="1324311795">
      <w:bodyDiv w:val="1"/>
      <w:marLeft w:val="0"/>
      <w:marRight w:val="0"/>
      <w:marTop w:val="0"/>
      <w:marBottom w:val="0"/>
      <w:divBdr>
        <w:top w:val="none" w:sz="0" w:space="0" w:color="auto"/>
        <w:left w:val="none" w:sz="0" w:space="0" w:color="auto"/>
        <w:bottom w:val="none" w:sz="0" w:space="0" w:color="auto"/>
        <w:right w:val="none" w:sz="0" w:space="0" w:color="auto"/>
      </w:divBdr>
    </w:div>
    <w:div w:id="1336571039">
      <w:bodyDiv w:val="1"/>
      <w:marLeft w:val="0"/>
      <w:marRight w:val="0"/>
      <w:marTop w:val="0"/>
      <w:marBottom w:val="0"/>
      <w:divBdr>
        <w:top w:val="none" w:sz="0" w:space="0" w:color="auto"/>
        <w:left w:val="none" w:sz="0" w:space="0" w:color="auto"/>
        <w:bottom w:val="none" w:sz="0" w:space="0" w:color="auto"/>
        <w:right w:val="none" w:sz="0" w:space="0" w:color="auto"/>
      </w:divBdr>
    </w:div>
    <w:div w:id="1352025239">
      <w:bodyDiv w:val="1"/>
      <w:marLeft w:val="0"/>
      <w:marRight w:val="0"/>
      <w:marTop w:val="0"/>
      <w:marBottom w:val="0"/>
      <w:divBdr>
        <w:top w:val="none" w:sz="0" w:space="0" w:color="auto"/>
        <w:left w:val="none" w:sz="0" w:space="0" w:color="auto"/>
        <w:bottom w:val="none" w:sz="0" w:space="0" w:color="auto"/>
        <w:right w:val="none" w:sz="0" w:space="0" w:color="auto"/>
      </w:divBdr>
    </w:div>
    <w:div w:id="1385790434">
      <w:bodyDiv w:val="1"/>
      <w:marLeft w:val="0"/>
      <w:marRight w:val="0"/>
      <w:marTop w:val="0"/>
      <w:marBottom w:val="0"/>
      <w:divBdr>
        <w:top w:val="none" w:sz="0" w:space="0" w:color="auto"/>
        <w:left w:val="none" w:sz="0" w:space="0" w:color="auto"/>
        <w:bottom w:val="none" w:sz="0" w:space="0" w:color="auto"/>
        <w:right w:val="none" w:sz="0" w:space="0" w:color="auto"/>
      </w:divBdr>
    </w:div>
    <w:div w:id="1398823076">
      <w:bodyDiv w:val="1"/>
      <w:marLeft w:val="0"/>
      <w:marRight w:val="0"/>
      <w:marTop w:val="0"/>
      <w:marBottom w:val="0"/>
      <w:divBdr>
        <w:top w:val="none" w:sz="0" w:space="0" w:color="auto"/>
        <w:left w:val="none" w:sz="0" w:space="0" w:color="auto"/>
        <w:bottom w:val="none" w:sz="0" w:space="0" w:color="auto"/>
        <w:right w:val="none" w:sz="0" w:space="0" w:color="auto"/>
      </w:divBdr>
    </w:div>
    <w:div w:id="1409501221">
      <w:bodyDiv w:val="1"/>
      <w:marLeft w:val="0"/>
      <w:marRight w:val="0"/>
      <w:marTop w:val="0"/>
      <w:marBottom w:val="0"/>
      <w:divBdr>
        <w:top w:val="none" w:sz="0" w:space="0" w:color="auto"/>
        <w:left w:val="none" w:sz="0" w:space="0" w:color="auto"/>
        <w:bottom w:val="none" w:sz="0" w:space="0" w:color="auto"/>
        <w:right w:val="none" w:sz="0" w:space="0" w:color="auto"/>
      </w:divBdr>
    </w:div>
    <w:div w:id="1413240979">
      <w:bodyDiv w:val="1"/>
      <w:marLeft w:val="0"/>
      <w:marRight w:val="0"/>
      <w:marTop w:val="0"/>
      <w:marBottom w:val="0"/>
      <w:divBdr>
        <w:top w:val="none" w:sz="0" w:space="0" w:color="auto"/>
        <w:left w:val="none" w:sz="0" w:space="0" w:color="auto"/>
        <w:bottom w:val="none" w:sz="0" w:space="0" w:color="auto"/>
        <w:right w:val="none" w:sz="0" w:space="0" w:color="auto"/>
      </w:divBdr>
    </w:div>
    <w:div w:id="1479106470">
      <w:bodyDiv w:val="1"/>
      <w:marLeft w:val="0"/>
      <w:marRight w:val="0"/>
      <w:marTop w:val="0"/>
      <w:marBottom w:val="0"/>
      <w:divBdr>
        <w:top w:val="none" w:sz="0" w:space="0" w:color="auto"/>
        <w:left w:val="none" w:sz="0" w:space="0" w:color="auto"/>
        <w:bottom w:val="none" w:sz="0" w:space="0" w:color="auto"/>
        <w:right w:val="none" w:sz="0" w:space="0" w:color="auto"/>
      </w:divBdr>
    </w:div>
    <w:div w:id="1480539117">
      <w:bodyDiv w:val="1"/>
      <w:marLeft w:val="0"/>
      <w:marRight w:val="0"/>
      <w:marTop w:val="0"/>
      <w:marBottom w:val="0"/>
      <w:divBdr>
        <w:top w:val="none" w:sz="0" w:space="0" w:color="auto"/>
        <w:left w:val="none" w:sz="0" w:space="0" w:color="auto"/>
        <w:bottom w:val="none" w:sz="0" w:space="0" w:color="auto"/>
        <w:right w:val="none" w:sz="0" w:space="0" w:color="auto"/>
      </w:divBdr>
    </w:div>
    <w:div w:id="1501432648">
      <w:bodyDiv w:val="1"/>
      <w:marLeft w:val="0"/>
      <w:marRight w:val="0"/>
      <w:marTop w:val="0"/>
      <w:marBottom w:val="0"/>
      <w:divBdr>
        <w:top w:val="none" w:sz="0" w:space="0" w:color="auto"/>
        <w:left w:val="none" w:sz="0" w:space="0" w:color="auto"/>
        <w:bottom w:val="none" w:sz="0" w:space="0" w:color="auto"/>
        <w:right w:val="none" w:sz="0" w:space="0" w:color="auto"/>
      </w:divBdr>
    </w:div>
    <w:div w:id="1661227473">
      <w:bodyDiv w:val="1"/>
      <w:marLeft w:val="0"/>
      <w:marRight w:val="0"/>
      <w:marTop w:val="0"/>
      <w:marBottom w:val="0"/>
      <w:divBdr>
        <w:top w:val="none" w:sz="0" w:space="0" w:color="auto"/>
        <w:left w:val="none" w:sz="0" w:space="0" w:color="auto"/>
        <w:bottom w:val="none" w:sz="0" w:space="0" w:color="auto"/>
        <w:right w:val="none" w:sz="0" w:space="0" w:color="auto"/>
      </w:divBdr>
      <w:divsChild>
        <w:div w:id="501435907">
          <w:marLeft w:val="0"/>
          <w:marRight w:val="0"/>
          <w:marTop w:val="0"/>
          <w:marBottom w:val="0"/>
          <w:divBdr>
            <w:top w:val="none" w:sz="0" w:space="0" w:color="auto"/>
            <w:left w:val="none" w:sz="0" w:space="0" w:color="auto"/>
            <w:bottom w:val="none" w:sz="0" w:space="0" w:color="auto"/>
            <w:right w:val="none" w:sz="0" w:space="0" w:color="auto"/>
          </w:divBdr>
          <w:divsChild>
            <w:div w:id="671496190">
              <w:marLeft w:val="0"/>
              <w:marRight w:val="0"/>
              <w:marTop w:val="0"/>
              <w:marBottom w:val="0"/>
              <w:divBdr>
                <w:top w:val="none" w:sz="0" w:space="0" w:color="auto"/>
                <w:left w:val="none" w:sz="0" w:space="0" w:color="auto"/>
                <w:bottom w:val="none" w:sz="0" w:space="0" w:color="auto"/>
                <w:right w:val="none" w:sz="0" w:space="0" w:color="auto"/>
              </w:divBdr>
              <w:divsChild>
                <w:div w:id="6673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427210">
          <w:marLeft w:val="0"/>
          <w:marRight w:val="0"/>
          <w:marTop w:val="0"/>
          <w:marBottom w:val="0"/>
          <w:divBdr>
            <w:top w:val="none" w:sz="0" w:space="0" w:color="auto"/>
            <w:left w:val="none" w:sz="0" w:space="0" w:color="auto"/>
            <w:bottom w:val="none" w:sz="0" w:space="0" w:color="auto"/>
            <w:right w:val="none" w:sz="0" w:space="0" w:color="auto"/>
          </w:divBdr>
          <w:divsChild>
            <w:div w:id="18172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742442">
      <w:bodyDiv w:val="1"/>
      <w:marLeft w:val="0"/>
      <w:marRight w:val="0"/>
      <w:marTop w:val="0"/>
      <w:marBottom w:val="0"/>
      <w:divBdr>
        <w:top w:val="none" w:sz="0" w:space="0" w:color="auto"/>
        <w:left w:val="none" w:sz="0" w:space="0" w:color="auto"/>
        <w:bottom w:val="none" w:sz="0" w:space="0" w:color="auto"/>
        <w:right w:val="none" w:sz="0" w:space="0" w:color="auto"/>
      </w:divBdr>
      <w:divsChild>
        <w:div w:id="1420130682">
          <w:marLeft w:val="0"/>
          <w:marRight w:val="0"/>
          <w:marTop w:val="0"/>
          <w:marBottom w:val="0"/>
          <w:divBdr>
            <w:top w:val="none" w:sz="0" w:space="0" w:color="auto"/>
            <w:left w:val="none" w:sz="0" w:space="0" w:color="auto"/>
            <w:bottom w:val="none" w:sz="0" w:space="0" w:color="auto"/>
            <w:right w:val="none" w:sz="0" w:space="0" w:color="auto"/>
          </w:divBdr>
        </w:div>
        <w:div w:id="2061634487">
          <w:marLeft w:val="0"/>
          <w:marRight w:val="0"/>
          <w:marTop w:val="0"/>
          <w:marBottom w:val="0"/>
          <w:divBdr>
            <w:top w:val="none" w:sz="0" w:space="0" w:color="auto"/>
            <w:left w:val="none" w:sz="0" w:space="0" w:color="auto"/>
            <w:bottom w:val="none" w:sz="0" w:space="0" w:color="auto"/>
            <w:right w:val="none" w:sz="0" w:space="0" w:color="auto"/>
          </w:divBdr>
        </w:div>
      </w:divsChild>
    </w:div>
    <w:div w:id="1727801260">
      <w:bodyDiv w:val="1"/>
      <w:marLeft w:val="0"/>
      <w:marRight w:val="0"/>
      <w:marTop w:val="0"/>
      <w:marBottom w:val="0"/>
      <w:divBdr>
        <w:top w:val="none" w:sz="0" w:space="0" w:color="auto"/>
        <w:left w:val="none" w:sz="0" w:space="0" w:color="auto"/>
        <w:bottom w:val="none" w:sz="0" w:space="0" w:color="auto"/>
        <w:right w:val="none" w:sz="0" w:space="0" w:color="auto"/>
      </w:divBdr>
    </w:div>
    <w:div w:id="1747845453">
      <w:bodyDiv w:val="1"/>
      <w:marLeft w:val="0"/>
      <w:marRight w:val="0"/>
      <w:marTop w:val="0"/>
      <w:marBottom w:val="0"/>
      <w:divBdr>
        <w:top w:val="none" w:sz="0" w:space="0" w:color="auto"/>
        <w:left w:val="none" w:sz="0" w:space="0" w:color="auto"/>
        <w:bottom w:val="none" w:sz="0" w:space="0" w:color="auto"/>
        <w:right w:val="none" w:sz="0" w:space="0" w:color="auto"/>
      </w:divBdr>
    </w:div>
    <w:div w:id="1753697959">
      <w:bodyDiv w:val="1"/>
      <w:marLeft w:val="0"/>
      <w:marRight w:val="0"/>
      <w:marTop w:val="0"/>
      <w:marBottom w:val="0"/>
      <w:divBdr>
        <w:top w:val="none" w:sz="0" w:space="0" w:color="auto"/>
        <w:left w:val="none" w:sz="0" w:space="0" w:color="auto"/>
        <w:bottom w:val="none" w:sz="0" w:space="0" w:color="auto"/>
        <w:right w:val="none" w:sz="0" w:space="0" w:color="auto"/>
      </w:divBdr>
    </w:div>
    <w:div w:id="1791893630">
      <w:bodyDiv w:val="1"/>
      <w:marLeft w:val="0"/>
      <w:marRight w:val="0"/>
      <w:marTop w:val="0"/>
      <w:marBottom w:val="0"/>
      <w:divBdr>
        <w:top w:val="none" w:sz="0" w:space="0" w:color="auto"/>
        <w:left w:val="none" w:sz="0" w:space="0" w:color="auto"/>
        <w:bottom w:val="none" w:sz="0" w:space="0" w:color="auto"/>
        <w:right w:val="none" w:sz="0" w:space="0" w:color="auto"/>
      </w:divBdr>
    </w:div>
    <w:div w:id="1793019289">
      <w:bodyDiv w:val="1"/>
      <w:marLeft w:val="0"/>
      <w:marRight w:val="0"/>
      <w:marTop w:val="0"/>
      <w:marBottom w:val="0"/>
      <w:divBdr>
        <w:top w:val="none" w:sz="0" w:space="0" w:color="auto"/>
        <w:left w:val="none" w:sz="0" w:space="0" w:color="auto"/>
        <w:bottom w:val="none" w:sz="0" w:space="0" w:color="auto"/>
        <w:right w:val="none" w:sz="0" w:space="0" w:color="auto"/>
      </w:divBdr>
    </w:div>
    <w:div w:id="1807892975">
      <w:bodyDiv w:val="1"/>
      <w:marLeft w:val="0"/>
      <w:marRight w:val="0"/>
      <w:marTop w:val="0"/>
      <w:marBottom w:val="0"/>
      <w:divBdr>
        <w:top w:val="none" w:sz="0" w:space="0" w:color="auto"/>
        <w:left w:val="none" w:sz="0" w:space="0" w:color="auto"/>
        <w:bottom w:val="none" w:sz="0" w:space="0" w:color="auto"/>
        <w:right w:val="none" w:sz="0" w:space="0" w:color="auto"/>
      </w:divBdr>
    </w:div>
    <w:div w:id="1808430975">
      <w:bodyDiv w:val="1"/>
      <w:marLeft w:val="0"/>
      <w:marRight w:val="0"/>
      <w:marTop w:val="0"/>
      <w:marBottom w:val="0"/>
      <w:divBdr>
        <w:top w:val="none" w:sz="0" w:space="0" w:color="auto"/>
        <w:left w:val="none" w:sz="0" w:space="0" w:color="auto"/>
        <w:bottom w:val="none" w:sz="0" w:space="0" w:color="auto"/>
        <w:right w:val="none" w:sz="0" w:space="0" w:color="auto"/>
      </w:divBdr>
    </w:div>
    <w:div w:id="1811825830">
      <w:bodyDiv w:val="1"/>
      <w:marLeft w:val="0"/>
      <w:marRight w:val="0"/>
      <w:marTop w:val="0"/>
      <w:marBottom w:val="0"/>
      <w:divBdr>
        <w:top w:val="none" w:sz="0" w:space="0" w:color="auto"/>
        <w:left w:val="none" w:sz="0" w:space="0" w:color="auto"/>
        <w:bottom w:val="none" w:sz="0" w:space="0" w:color="auto"/>
        <w:right w:val="none" w:sz="0" w:space="0" w:color="auto"/>
      </w:divBdr>
      <w:divsChild>
        <w:div w:id="1480223680">
          <w:marLeft w:val="0"/>
          <w:marRight w:val="0"/>
          <w:marTop w:val="0"/>
          <w:marBottom w:val="0"/>
          <w:divBdr>
            <w:top w:val="none" w:sz="0" w:space="0" w:color="auto"/>
            <w:left w:val="none" w:sz="0" w:space="0" w:color="auto"/>
            <w:bottom w:val="none" w:sz="0" w:space="0" w:color="auto"/>
            <w:right w:val="none" w:sz="0" w:space="0" w:color="auto"/>
          </w:divBdr>
          <w:divsChild>
            <w:div w:id="1689598732">
              <w:marLeft w:val="0"/>
              <w:marRight w:val="0"/>
              <w:marTop w:val="0"/>
              <w:marBottom w:val="0"/>
              <w:divBdr>
                <w:top w:val="none" w:sz="0" w:space="0" w:color="auto"/>
                <w:left w:val="none" w:sz="0" w:space="0" w:color="auto"/>
                <w:bottom w:val="none" w:sz="0" w:space="0" w:color="auto"/>
                <w:right w:val="none" w:sz="0" w:space="0" w:color="auto"/>
              </w:divBdr>
              <w:divsChild>
                <w:div w:id="185842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78442">
          <w:marLeft w:val="0"/>
          <w:marRight w:val="0"/>
          <w:marTop w:val="0"/>
          <w:marBottom w:val="0"/>
          <w:divBdr>
            <w:top w:val="none" w:sz="0" w:space="0" w:color="auto"/>
            <w:left w:val="none" w:sz="0" w:space="0" w:color="auto"/>
            <w:bottom w:val="none" w:sz="0" w:space="0" w:color="auto"/>
            <w:right w:val="none" w:sz="0" w:space="0" w:color="auto"/>
          </w:divBdr>
          <w:divsChild>
            <w:div w:id="12631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792973">
      <w:bodyDiv w:val="1"/>
      <w:marLeft w:val="0"/>
      <w:marRight w:val="0"/>
      <w:marTop w:val="0"/>
      <w:marBottom w:val="0"/>
      <w:divBdr>
        <w:top w:val="none" w:sz="0" w:space="0" w:color="auto"/>
        <w:left w:val="none" w:sz="0" w:space="0" w:color="auto"/>
        <w:bottom w:val="none" w:sz="0" w:space="0" w:color="auto"/>
        <w:right w:val="none" w:sz="0" w:space="0" w:color="auto"/>
      </w:divBdr>
    </w:div>
    <w:div w:id="1814905300">
      <w:bodyDiv w:val="1"/>
      <w:marLeft w:val="0"/>
      <w:marRight w:val="0"/>
      <w:marTop w:val="0"/>
      <w:marBottom w:val="0"/>
      <w:divBdr>
        <w:top w:val="none" w:sz="0" w:space="0" w:color="auto"/>
        <w:left w:val="none" w:sz="0" w:space="0" w:color="auto"/>
        <w:bottom w:val="none" w:sz="0" w:space="0" w:color="auto"/>
        <w:right w:val="none" w:sz="0" w:space="0" w:color="auto"/>
      </w:divBdr>
      <w:divsChild>
        <w:div w:id="1146320918">
          <w:marLeft w:val="0"/>
          <w:marRight w:val="0"/>
          <w:marTop w:val="0"/>
          <w:marBottom w:val="0"/>
          <w:divBdr>
            <w:top w:val="none" w:sz="0" w:space="0" w:color="auto"/>
            <w:left w:val="none" w:sz="0" w:space="0" w:color="auto"/>
            <w:bottom w:val="none" w:sz="0" w:space="0" w:color="auto"/>
            <w:right w:val="none" w:sz="0" w:space="0" w:color="auto"/>
          </w:divBdr>
          <w:divsChild>
            <w:div w:id="192615447">
              <w:marLeft w:val="0"/>
              <w:marRight w:val="0"/>
              <w:marTop w:val="0"/>
              <w:marBottom w:val="0"/>
              <w:divBdr>
                <w:top w:val="none" w:sz="0" w:space="0" w:color="auto"/>
                <w:left w:val="none" w:sz="0" w:space="0" w:color="auto"/>
                <w:bottom w:val="none" w:sz="0" w:space="0" w:color="auto"/>
                <w:right w:val="none" w:sz="0" w:space="0" w:color="auto"/>
              </w:divBdr>
              <w:divsChild>
                <w:div w:id="167753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528928">
          <w:marLeft w:val="0"/>
          <w:marRight w:val="0"/>
          <w:marTop w:val="0"/>
          <w:marBottom w:val="0"/>
          <w:divBdr>
            <w:top w:val="none" w:sz="0" w:space="0" w:color="auto"/>
            <w:left w:val="none" w:sz="0" w:space="0" w:color="auto"/>
            <w:bottom w:val="none" w:sz="0" w:space="0" w:color="auto"/>
            <w:right w:val="none" w:sz="0" w:space="0" w:color="auto"/>
          </w:divBdr>
          <w:divsChild>
            <w:div w:id="6993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528303">
      <w:bodyDiv w:val="1"/>
      <w:marLeft w:val="0"/>
      <w:marRight w:val="0"/>
      <w:marTop w:val="0"/>
      <w:marBottom w:val="0"/>
      <w:divBdr>
        <w:top w:val="none" w:sz="0" w:space="0" w:color="auto"/>
        <w:left w:val="none" w:sz="0" w:space="0" w:color="auto"/>
        <w:bottom w:val="none" w:sz="0" w:space="0" w:color="auto"/>
        <w:right w:val="none" w:sz="0" w:space="0" w:color="auto"/>
      </w:divBdr>
    </w:div>
    <w:div w:id="1949384780">
      <w:bodyDiv w:val="1"/>
      <w:marLeft w:val="0"/>
      <w:marRight w:val="0"/>
      <w:marTop w:val="0"/>
      <w:marBottom w:val="0"/>
      <w:divBdr>
        <w:top w:val="none" w:sz="0" w:space="0" w:color="auto"/>
        <w:left w:val="none" w:sz="0" w:space="0" w:color="auto"/>
        <w:bottom w:val="none" w:sz="0" w:space="0" w:color="auto"/>
        <w:right w:val="none" w:sz="0" w:space="0" w:color="auto"/>
      </w:divBdr>
    </w:div>
    <w:div w:id="1961063109">
      <w:bodyDiv w:val="1"/>
      <w:marLeft w:val="0"/>
      <w:marRight w:val="0"/>
      <w:marTop w:val="0"/>
      <w:marBottom w:val="0"/>
      <w:divBdr>
        <w:top w:val="none" w:sz="0" w:space="0" w:color="auto"/>
        <w:left w:val="none" w:sz="0" w:space="0" w:color="auto"/>
        <w:bottom w:val="none" w:sz="0" w:space="0" w:color="auto"/>
        <w:right w:val="none" w:sz="0" w:space="0" w:color="auto"/>
      </w:divBdr>
    </w:div>
    <w:div w:id="1990094346">
      <w:bodyDiv w:val="1"/>
      <w:marLeft w:val="0"/>
      <w:marRight w:val="0"/>
      <w:marTop w:val="0"/>
      <w:marBottom w:val="0"/>
      <w:divBdr>
        <w:top w:val="none" w:sz="0" w:space="0" w:color="auto"/>
        <w:left w:val="none" w:sz="0" w:space="0" w:color="auto"/>
        <w:bottom w:val="none" w:sz="0" w:space="0" w:color="auto"/>
        <w:right w:val="none" w:sz="0" w:space="0" w:color="auto"/>
      </w:divBdr>
    </w:div>
    <w:div w:id="2011132959">
      <w:bodyDiv w:val="1"/>
      <w:marLeft w:val="0"/>
      <w:marRight w:val="0"/>
      <w:marTop w:val="0"/>
      <w:marBottom w:val="0"/>
      <w:divBdr>
        <w:top w:val="none" w:sz="0" w:space="0" w:color="auto"/>
        <w:left w:val="none" w:sz="0" w:space="0" w:color="auto"/>
        <w:bottom w:val="none" w:sz="0" w:space="0" w:color="auto"/>
        <w:right w:val="none" w:sz="0" w:space="0" w:color="auto"/>
      </w:divBdr>
    </w:div>
    <w:div w:id="2022730722">
      <w:bodyDiv w:val="1"/>
      <w:marLeft w:val="0"/>
      <w:marRight w:val="0"/>
      <w:marTop w:val="0"/>
      <w:marBottom w:val="0"/>
      <w:divBdr>
        <w:top w:val="none" w:sz="0" w:space="0" w:color="auto"/>
        <w:left w:val="none" w:sz="0" w:space="0" w:color="auto"/>
        <w:bottom w:val="none" w:sz="0" w:space="0" w:color="auto"/>
        <w:right w:val="none" w:sz="0" w:space="0" w:color="auto"/>
      </w:divBdr>
    </w:div>
    <w:div w:id="2041054721">
      <w:bodyDiv w:val="1"/>
      <w:marLeft w:val="0"/>
      <w:marRight w:val="0"/>
      <w:marTop w:val="0"/>
      <w:marBottom w:val="0"/>
      <w:divBdr>
        <w:top w:val="none" w:sz="0" w:space="0" w:color="auto"/>
        <w:left w:val="none" w:sz="0" w:space="0" w:color="auto"/>
        <w:bottom w:val="none" w:sz="0" w:space="0" w:color="auto"/>
        <w:right w:val="none" w:sz="0" w:space="0" w:color="auto"/>
      </w:divBdr>
    </w:div>
    <w:div w:id="2045251109">
      <w:bodyDiv w:val="1"/>
      <w:marLeft w:val="0"/>
      <w:marRight w:val="0"/>
      <w:marTop w:val="0"/>
      <w:marBottom w:val="0"/>
      <w:divBdr>
        <w:top w:val="none" w:sz="0" w:space="0" w:color="auto"/>
        <w:left w:val="none" w:sz="0" w:space="0" w:color="auto"/>
        <w:bottom w:val="none" w:sz="0" w:space="0" w:color="auto"/>
        <w:right w:val="none" w:sz="0" w:space="0" w:color="auto"/>
      </w:divBdr>
    </w:div>
    <w:div w:id="2072851153">
      <w:bodyDiv w:val="1"/>
      <w:marLeft w:val="0"/>
      <w:marRight w:val="0"/>
      <w:marTop w:val="0"/>
      <w:marBottom w:val="0"/>
      <w:divBdr>
        <w:top w:val="none" w:sz="0" w:space="0" w:color="auto"/>
        <w:left w:val="none" w:sz="0" w:space="0" w:color="auto"/>
        <w:bottom w:val="none" w:sz="0" w:space="0" w:color="auto"/>
        <w:right w:val="none" w:sz="0" w:space="0" w:color="auto"/>
      </w:divBdr>
      <w:divsChild>
        <w:div w:id="1793093153">
          <w:marLeft w:val="0"/>
          <w:marRight w:val="0"/>
          <w:marTop w:val="0"/>
          <w:marBottom w:val="0"/>
          <w:divBdr>
            <w:top w:val="none" w:sz="0" w:space="0" w:color="auto"/>
            <w:left w:val="none" w:sz="0" w:space="0" w:color="auto"/>
            <w:bottom w:val="none" w:sz="0" w:space="0" w:color="auto"/>
            <w:right w:val="none" w:sz="0" w:space="0" w:color="auto"/>
          </w:divBdr>
          <w:divsChild>
            <w:div w:id="1770664589">
              <w:marLeft w:val="0"/>
              <w:marRight w:val="0"/>
              <w:marTop w:val="0"/>
              <w:marBottom w:val="0"/>
              <w:divBdr>
                <w:top w:val="none" w:sz="0" w:space="0" w:color="auto"/>
                <w:left w:val="none" w:sz="0" w:space="0" w:color="auto"/>
                <w:bottom w:val="none" w:sz="0" w:space="0" w:color="auto"/>
                <w:right w:val="none" w:sz="0" w:space="0" w:color="auto"/>
              </w:divBdr>
              <w:divsChild>
                <w:div w:id="8359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40896">
          <w:marLeft w:val="0"/>
          <w:marRight w:val="0"/>
          <w:marTop w:val="0"/>
          <w:marBottom w:val="0"/>
          <w:divBdr>
            <w:top w:val="none" w:sz="0" w:space="0" w:color="auto"/>
            <w:left w:val="none" w:sz="0" w:space="0" w:color="auto"/>
            <w:bottom w:val="none" w:sz="0" w:space="0" w:color="auto"/>
            <w:right w:val="none" w:sz="0" w:space="0" w:color="auto"/>
          </w:divBdr>
          <w:divsChild>
            <w:div w:id="2275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66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4c67d24-626b-409d-be58-d6febb32e44d" xsi:nil="true"/>
    <_ip_UnifiedCompliancePolicyProperties xmlns="http://schemas.microsoft.com/sharepoint/v3" xsi:nil="true"/>
    <lcf76f155ced4ddcb4097134ff3c332f xmlns="d07de8af-819e-45f5-a427-057b4763e9f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D31AC7D7234E424A9359920138C20476" ma:contentTypeVersion="13" ma:contentTypeDescription="Creare un nuovo documento." ma:contentTypeScope="" ma:versionID="f9e69e0f2b6130d6757ba3a55ea7b110">
  <xsd:schema xmlns:xsd="http://www.w3.org/2001/XMLSchema" xmlns:xs="http://www.w3.org/2001/XMLSchema" xmlns:p="http://schemas.microsoft.com/office/2006/metadata/properties" xmlns:ns1="http://schemas.microsoft.com/sharepoint/v3" xmlns:ns2="d07de8af-819e-45f5-a427-057b4763e9fe" xmlns:ns3="94c67d24-626b-409d-be58-d6febb32e44d" targetNamespace="http://schemas.microsoft.com/office/2006/metadata/properties" ma:root="true" ma:fieldsID="f9703b85d00a9b4bf1cdd1b3f0ffcb4d" ns1:_="" ns2:_="" ns3:_="">
    <xsd:import namespace="http://schemas.microsoft.com/sharepoint/v3"/>
    <xsd:import namespace="d07de8af-819e-45f5-a427-057b4763e9fe"/>
    <xsd:import namespace="94c67d24-626b-409d-be58-d6febb32e4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tà criteri di conformità unificati" ma:hidden="true" ma:internalName="_ip_UnifiedCompliancePolicyProperties">
      <xsd:simpleType>
        <xsd:restriction base="dms:Note"/>
      </xsd:simpleType>
    </xsd:element>
    <xsd:element name="_ip_UnifiedCompliancePolicyUIAction" ma:index="20" nillable="true" ma:displayName="Azione interfaccia utente criteri di conformità unificat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7de8af-819e-45f5-a427-057b4763e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df25bea4-72a1-4972-b62b-d1be7d2bd96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c67d24-626b-409d-be58-d6febb32e4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a8229c-8dff-4595-bce3-d794ab778d28}" ma:internalName="TaxCatchAll" ma:showField="CatchAllData" ma:web="94c67d24-626b-409d-be58-d6febb32e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6522B6-5FA8-4B3D-A722-77E486C31C8D}">
  <ds:schemaRefs>
    <ds:schemaRef ds:uri="http://schemas.microsoft.com/office/2006/metadata/properties"/>
    <ds:schemaRef ds:uri="http://schemas.microsoft.com/office/infopath/2007/PartnerControls"/>
    <ds:schemaRef ds:uri="http://schemas.microsoft.com/sharepoint/v3"/>
    <ds:schemaRef ds:uri="94c67d24-626b-409d-be58-d6febb32e44d"/>
    <ds:schemaRef ds:uri="d07de8af-819e-45f5-a427-057b4763e9fe"/>
  </ds:schemaRefs>
</ds:datastoreItem>
</file>

<file path=customXml/itemProps2.xml><?xml version="1.0" encoding="utf-8"?>
<ds:datastoreItem xmlns:ds="http://schemas.openxmlformats.org/officeDocument/2006/customXml" ds:itemID="{B095C324-2E26-48CD-9D54-CFBB58D77A39}">
  <ds:schemaRefs>
    <ds:schemaRef ds:uri="http://schemas.openxmlformats.org/officeDocument/2006/bibliography"/>
  </ds:schemaRefs>
</ds:datastoreItem>
</file>

<file path=customXml/itemProps3.xml><?xml version="1.0" encoding="utf-8"?>
<ds:datastoreItem xmlns:ds="http://schemas.openxmlformats.org/officeDocument/2006/customXml" ds:itemID="{EFC8660E-38D8-4082-990E-667C8F101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7de8af-819e-45f5-a427-057b4763e9fe"/>
    <ds:schemaRef ds:uri="94c67d24-626b-409d-be58-d6febb32e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5ABC08-F9BA-4151-9040-9A49E51A2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2254</Words>
  <Characters>13869</Characters>
  <Application>Microsoft Office Word</Application>
  <DocSecurity>0</DocSecurity>
  <Lines>189</Lines>
  <Paragraphs>56</Paragraphs>
  <ScaleCrop>false</ScaleCrop>
  <HeadingPairs>
    <vt:vector size="2" baseType="variant">
      <vt:variant>
        <vt:lpstr>Titolo</vt:lpstr>
      </vt:variant>
      <vt:variant>
        <vt:i4>1</vt:i4>
      </vt:variant>
    </vt:vector>
  </HeadingPairs>
  <TitlesOfParts>
    <vt:vector size="1" baseType="lpstr">
      <vt:lpstr/>
    </vt:vector>
  </TitlesOfParts>
  <Company>Ministero della Transizione Ecologica</Company>
  <LinksUpToDate>false</LinksUpToDate>
  <CharactersWithSpaces>16067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Valitutti Antonella</dc:creator>
  <cp:keywords/>
  <dc:description/>
  <cp:lastModifiedBy>DEE</cp:lastModifiedBy>
  <cp:revision>11</cp:revision>
  <dcterms:created xsi:type="dcterms:W3CDTF">2026-07-29T12:04:00Z</dcterms:created>
  <dcterms:modified xsi:type="dcterms:W3CDTF">2026-08-03T08:49:00Z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4f5f15f-11ca-4705-a655-5e46846a1c6b_Enabled">
    <vt:lpwstr>true</vt:lpwstr>
  </property>
  <property fmtid="{D5CDD505-2E9C-101B-9397-08002B2CF9AE}" pid="3" name="MSIP_Label_94f5f15f-11ca-4705-a655-5e46846a1c6b_SetDate">
    <vt:lpwstr>2025-02-20T12:09:47Z</vt:lpwstr>
  </property>
  <property fmtid="{D5CDD505-2E9C-101B-9397-08002B2CF9AE}" pid="4" name="MSIP_Label_94f5f15f-11ca-4705-a655-5e46846a1c6b_Method">
    <vt:lpwstr>Standard</vt:lpwstr>
  </property>
  <property fmtid="{D5CDD505-2E9C-101B-9397-08002B2CF9AE}" pid="5" name="MSIP_Label_94f5f15f-11ca-4705-a655-5e46846a1c6b_Name">
    <vt:lpwstr>Pubblico</vt:lpwstr>
  </property>
  <property fmtid="{D5CDD505-2E9C-101B-9397-08002B2CF9AE}" pid="6" name="MSIP_Label_94f5f15f-11ca-4705-a655-5e46846a1c6b_SiteId">
    <vt:lpwstr>49ea7387-144b-4c06-b54d-6a66b2b79d71</vt:lpwstr>
  </property>
  <property fmtid="{D5CDD505-2E9C-101B-9397-08002B2CF9AE}" pid="7" name="MSIP_Label_94f5f15f-11ca-4705-a655-5e46846a1c6b_ActionId">
    <vt:lpwstr>26652a69-0ce3-44e1-85c0-2dbb20e6e9e4</vt:lpwstr>
  </property>
  <property fmtid="{D5CDD505-2E9C-101B-9397-08002B2CF9AE}" pid="8" name="MSIP_Label_94f5f15f-11ca-4705-a655-5e46846a1c6b_ContentBits">
    <vt:lpwstr>0</vt:lpwstr>
  </property>
  <property fmtid="{D5CDD505-2E9C-101B-9397-08002B2CF9AE}" pid="9" name="ContentTypeId">
    <vt:lpwstr>0x010100D31AC7D7234E424A9359920138C20476</vt:lpwstr>
  </property>
  <property fmtid="{D5CDD505-2E9C-101B-9397-08002B2CF9AE}" pid="10" name="MediaServiceImageTags">
    <vt:lpwstr/>
  </property>
</Properties>
</file>